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color w:val="000000" w:themeColor="text1"/>
          <w:sz w:val="32"/>
          <w:szCs w:val="32"/>
        </w:rPr>
      </w:pPr>
    </w:p>
    <w:p>
      <w:pPr>
        <w:spacing w:line="760" w:lineRule="exact"/>
        <w:jc w:val="center"/>
        <w:rPr>
          <w:rFonts w:eastAsiaTheme="minorEastAsia"/>
          <w:b/>
          <w:bCs/>
          <w:color w:val="000000" w:themeColor="text1"/>
          <w:sz w:val="50"/>
          <w:szCs w:val="32"/>
        </w:rPr>
      </w:pPr>
      <w:r>
        <w:rPr>
          <w:rFonts w:hint="eastAsia" w:eastAsiaTheme="minorEastAsia"/>
          <w:b/>
          <w:bCs/>
          <w:color w:val="000000" w:themeColor="text1"/>
          <w:sz w:val="50"/>
          <w:szCs w:val="32"/>
        </w:rPr>
        <w:t>盐城幼儿师范高等专科学校</w:t>
      </w:r>
    </w:p>
    <w:p>
      <w:pPr>
        <w:spacing w:line="760" w:lineRule="exact"/>
        <w:jc w:val="center"/>
        <w:rPr>
          <w:rFonts w:eastAsiaTheme="minorEastAsia"/>
          <w:b/>
          <w:bCs/>
          <w:color w:val="000000" w:themeColor="text1"/>
          <w:sz w:val="50"/>
          <w:szCs w:val="32"/>
        </w:rPr>
      </w:pPr>
      <w:r>
        <w:rPr>
          <w:rFonts w:hint="eastAsia" w:eastAsiaTheme="minorEastAsia"/>
          <w:b/>
          <w:bCs/>
          <w:color w:val="000000" w:themeColor="text1"/>
          <w:sz w:val="50"/>
          <w:szCs w:val="32"/>
        </w:rPr>
        <w:t>2022年纸质图书采购项目</w:t>
      </w:r>
    </w:p>
    <w:p>
      <w:pPr>
        <w:jc w:val="center"/>
        <w:rPr>
          <w:b/>
          <w:bCs/>
          <w:color w:val="000000" w:themeColor="text1"/>
          <w:sz w:val="32"/>
          <w:szCs w:val="32"/>
        </w:rPr>
      </w:pPr>
    </w:p>
    <w:p>
      <w:pPr>
        <w:jc w:val="center"/>
        <w:rPr>
          <w:color w:val="000000" w:themeColor="text1"/>
          <w:sz w:val="32"/>
          <w:szCs w:val="32"/>
        </w:rPr>
      </w:pPr>
    </w:p>
    <w:p>
      <w:pPr>
        <w:pStyle w:val="25"/>
      </w:pPr>
    </w:p>
    <w:p>
      <w:pPr>
        <w:pStyle w:val="25"/>
      </w:pPr>
    </w:p>
    <w:p>
      <w:pPr>
        <w:jc w:val="center"/>
        <w:rPr>
          <w:rFonts w:eastAsia="黑体"/>
          <w:bCs/>
          <w:color w:val="000000" w:themeColor="text1"/>
          <w:sz w:val="78"/>
          <w:szCs w:val="84"/>
        </w:rPr>
      </w:pPr>
      <w:r>
        <w:rPr>
          <w:rFonts w:hint="eastAsia" w:eastAsia="黑体"/>
          <w:bCs/>
          <w:color w:val="000000" w:themeColor="text1"/>
          <w:sz w:val="78"/>
          <w:szCs w:val="84"/>
        </w:rPr>
        <w:t>招 标 文 件</w:t>
      </w:r>
    </w:p>
    <w:p>
      <w:pPr>
        <w:jc w:val="center"/>
        <w:rPr>
          <w:color w:val="000000" w:themeColor="text1"/>
          <w:sz w:val="32"/>
          <w:szCs w:val="32"/>
        </w:rPr>
      </w:pPr>
    </w:p>
    <w:p>
      <w:pPr>
        <w:jc w:val="center"/>
        <w:rPr>
          <w:rFonts w:eastAsia="黑体"/>
          <w:bCs/>
          <w:color w:val="000000" w:themeColor="text1"/>
          <w:sz w:val="36"/>
          <w:szCs w:val="36"/>
        </w:rPr>
      </w:pPr>
      <w:r>
        <w:rPr>
          <w:rFonts w:hint="eastAsia" w:eastAsia="黑体"/>
          <w:bCs/>
          <w:color w:val="000000" w:themeColor="text1"/>
          <w:sz w:val="36"/>
          <w:szCs w:val="36"/>
        </w:rPr>
        <w:t>（</w:t>
      </w:r>
      <w:r>
        <w:rPr>
          <w:rFonts w:eastAsia="黑体"/>
          <w:bCs/>
          <w:color w:val="000000" w:themeColor="text1"/>
          <w:sz w:val="36"/>
          <w:szCs w:val="36"/>
        </w:rPr>
        <w:t>项目编号：</w:t>
      </w:r>
      <w:r>
        <w:rPr>
          <w:rFonts w:hint="eastAsia" w:eastAsia="黑体"/>
          <w:bCs/>
          <w:color w:val="000000" w:themeColor="text1"/>
          <w:sz w:val="36"/>
          <w:szCs w:val="36"/>
        </w:rPr>
        <w:t>ycyz2022hw001）</w:t>
      </w:r>
    </w:p>
    <w:p>
      <w:pPr>
        <w:jc w:val="center"/>
        <w:rPr>
          <w:b/>
          <w:bCs/>
          <w:color w:val="000000" w:themeColor="text1"/>
          <w:sz w:val="32"/>
          <w:szCs w:val="32"/>
        </w:rPr>
      </w:pPr>
    </w:p>
    <w:p>
      <w:pPr>
        <w:jc w:val="center"/>
        <w:rPr>
          <w:b/>
          <w:bCs/>
          <w:color w:val="000000" w:themeColor="text1"/>
          <w:sz w:val="32"/>
          <w:szCs w:val="32"/>
        </w:rPr>
      </w:pPr>
    </w:p>
    <w:p>
      <w:pPr>
        <w:jc w:val="center"/>
        <w:rPr>
          <w:b/>
          <w:bCs/>
          <w:color w:val="000000" w:themeColor="text1"/>
          <w:sz w:val="32"/>
          <w:szCs w:val="32"/>
        </w:rPr>
      </w:pPr>
    </w:p>
    <w:p>
      <w:pPr>
        <w:jc w:val="center"/>
        <w:rPr>
          <w:b/>
          <w:bCs/>
          <w:color w:val="000000" w:themeColor="text1"/>
          <w:sz w:val="32"/>
          <w:szCs w:val="32"/>
        </w:rPr>
      </w:pPr>
    </w:p>
    <w:p>
      <w:pPr>
        <w:pStyle w:val="25"/>
        <w:rPr>
          <w:color w:val="000000" w:themeColor="text1"/>
        </w:rPr>
      </w:pPr>
    </w:p>
    <w:p>
      <w:pPr>
        <w:pStyle w:val="25"/>
        <w:rPr>
          <w:color w:val="000000" w:themeColor="text1"/>
        </w:rPr>
      </w:pPr>
    </w:p>
    <w:p>
      <w:pPr>
        <w:pStyle w:val="25"/>
        <w:rPr>
          <w:color w:val="000000" w:themeColor="text1"/>
        </w:rPr>
      </w:pPr>
    </w:p>
    <w:p>
      <w:pPr>
        <w:rPr>
          <w:color w:val="000000" w:themeColor="text1"/>
        </w:rPr>
      </w:pPr>
    </w:p>
    <w:p>
      <w:pPr>
        <w:spacing w:line="360" w:lineRule="auto"/>
        <w:jc w:val="center"/>
        <w:rPr>
          <w:rFonts w:asciiTheme="minorEastAsia" w:hAnsiTheme="minorEastAsia" w:eastAsiaTheme="minorEastAsia"/>
          <w:b/>
          <w:color w:val="000000" w:themeColor="text1"/>
          <w:spacing w:val="15"/>
          <w:sz w:val="36"/>
          <w:szCs w:val="36"/>
        </w:rPr>
      </w:pPr>
      <w:r>
        <w:rPr>
          <w:rFonts w:asciiTheme="minorEastAsia" w:hAnsiTheme="minorEastAsia" w:eastAsiaTheme="minorEastAsia"/>
          <w:b/>
          <w:color w:val="000000" w:themeColor="text1"/>
          <w:spacing w:val="15"/>
          <w:sz w:val="36"/>
          <w:szCs w:val="36"/>
        </w:rPr>
        <w:t>盐城幼儿师范高等专科学校</w:t>
      </w:r>
    </w:p>
    <w:p>
      <w:pPr>
        <w:spacing w:line="360" w:lineRule="auto"/>
        <w:jc w:val="center"/>
        <w:rPr>
          <w:rFonts w:asciiTheme="minorEastAsia" w:hAnsiTheme="minorEastAsia" w:eastAsiaTheme="minorEastAsia"/>
          <w:b/>
          <w:color w:val="000000" w:themeColor="text1"/>
          <w:sz w:val="36"/>
          <w:szCs w:val="36"/>
        </w:rPr>
      </w:pPr>
      <w:r>
        <w:rPr>
          <w:rFonts w:asciiTheme="minorEastAsia" w:hAnsiTheme="minorEastAsia" w:eastAsiaTheme="minorEastAsia"/>
          <w:b/>
          <w:color w:val="000000" w:themeColor="text1"/>
          <w:sz w:val="36"/>
          <w:szCs w:val="36"/>
        </w:rPr>
        <w:t>2022年</w:t>
      </w:r>
      <w:r>
        <w:rPr>
          <w:rFonts w:hint="eastAsia" w:asciiTheme="minorEastAsia" w:hAnsiTheme="minorEastAsia" w:eastAsiaTheme="minorEastAsia"/>
          <w:b/>
          <w:color w:val="000000" w:themeColor="text1"/>
          <w:sz w:val="36"/>
          <w:szCs w:val="36"/>
        </w:rPr>
        <w:t>9</w:t>
      </w:r>
      <w:r>
        <w:rPr>
          <w:rFonts w:asciiTheme="minorEastAsia" w:hAnsiTheme="minorEastAsia" w:eastAsiaTheme="minorEastAsia"/>
          <w:b/>
          <w:color w:val="000000" w:themeColor="text1"/>
          <w:sz w:val="36"/>
          <w:szCs w:val="36"/>
        </w:rPr>
        <w:t>月</w:t>
      </w:r>
      <w:r>
        <w:rPr>
          <w:rFonts w:hint="eastAsia" w:asciiTheme="minorEastAsia" w:hAnsiTheme="minorEastAsia" w:eastAsiaTheme="minorEastAsia"/>
          <w:b/>
          <w:color w:val="000000" w:themeColor="text1"/>
          <w:sz w:val="36"/>
          <w:szCs w:val="36"/>
          <w:lang w:val="en-US" w:eastAsia="zh-CN"/>
        </w:rPr>
        <w:t>30</w:t>
      </w:r>
      <w:r>
        <w:rPr>
          <w:rFonts w:asciiTheme="minorEastAsia" w:hAnsiTheme="minorEastAsia" w:eastAsiaTheme="minorEastAsia"/>
          <w:b/>
          <w:color w:val="000000" w:themeColor="text1"/>
          <w:sz w:val="36"/>
          <w:szCs w:val="36"/>
        </w:rPr>
        <w:t>日</w:t>
      </w:r>
    </w:p>
    <w:p>
      <w:pPr>
        <w:pStyle w:val="25"/>
      </w:pPr>
      <w:r>
        <w:br w:type="page"/>
      </w:r>
    </w:p>
    <w:p>
      <w:pPr>
        <w:jc w:val="left"/>
        <w:rPr>
          <w:rFonts w:eastAsia="黑体"/>
          <w:b/>
          <w:bCs/>
          <w:color w:val="000000" w:themeColor="text1"/>
          <w:sz w:val="44"/>
          <w:szCs w:val="44"/>
        </w:rPr>
      </w:pPr>
    </w:p>
    <w:p>
      <w:pPr>
        <w:jc w:val="center"/>
        <w:outlineLvl w:val="0"/>
        <w:rPr>
          <w:rFonts w:eastAsia="黑体"/>
          <w:color w:val="000000" w:themeColor="text1"/>
          <w:sz w:val="40"/>
          <w:szCs w:val="40"/>
        </w:rPr>
      </w:pPr>
      <w:bookmarkStart w:id="0" w:name="_Toc108021864"/>
      <w:r>
        <w:rPr>
          <w:rFonts w:eastAsia="黑体"/>
          <w:color w:val="000000" w:themeColor="text1"/>
          <w:sz w:val="40"/>
          <w:szCs w:val="40"/>
        </w:rPr>
        <w:t>总 目 录</w:t>
      </w:r>
      <w:bookmarkEnd w:id="0"/>
    </w:p>
    <w:p>
      <w:pPr>
        <w:rPr>
          <w:rFonts w:eastAsia="黑体"/>
          <w:b/>
          <w:bCs/>
          <w:color w:val="000000" w:themeColor="text1"/>
          <w:sz w:val="28"/>
          <w:szCs w:val="28"/>
        </w:rPr>
      </w:pPr>
    </w:p>
    <w:p>
      <w:pPr>
        <w:pStyle w:val="17"/>
        <w:tabs>
          <w:tab w:val="right" w:leader="middleDot" w:pos="8720"/>
        </w:tabs>
        <w:rPr>
          <w:sz w:val="28"/>
          <w:szCs w:val="28"/>
        </w:rPr>
      </w:pPr>
      <w:r>
        <w:rPr>
          <w:sz w:val="28"/>
          <w:szCs w:val="28"/>
        </w:rPr>
        <w:fldChar w:fldCharType="begin"/>
      </w:r>
      <w:r>
        <w:rPr>
          <w:sz w:val="28"/>
          <w:szCs w:val="28"/>
        </w:rPr>
        <w:instrText xml:space="preserve"> TOC \o "1-3" \h \z \u </w:instrText>
      </w:r>
      <w:r>
        <w:rPr>
          <w:sz w:val="28"/>
          <w:szCs w:val="28"/>
        </w:rPr>
        <w:fldChar w:fldCharType="separate"/>
      </w:r>
      <w:r>
        <w:fldChar w:fldCharType="begin"/>
      </w:r>
      <w:r>
        <w:instrText xml:space="preserve"> HYPERLINK \l "_Toc108021865" </w:instrText>
      </w:r>
      <w:r>
        <w:fldChar w:fldCharType="separate"/>
      </w:r>
      <w:r>
        <w:rPr>
          <w:rStyle w:val="24"/>
          <w:rFonts w:hint="eastAsia" w:eastAsia="黑体"/>
          <w:sz w:val="28"/>
          <w:szCs w:val="28"/>
        </w:rPr>
        <w:t>第一章采购公告</w:t>
      </w:r>
      <w:r>
        <w:rPr>
          <w:sz w:val="28"/>
          <w:szCs w:val="28"/>
        </w:rPr>
        <w:tab/>
      </w:r>
      <w:r>
        <w:rPr>
          <w:rFonts w:hint="eastAsia"/>
          <w:sz w:val="28"/>
          <w:szCs w:val="28"/>
        </w:rPr>
        <w:t>3</w:t>
      </w:r>
      <w:r>
        <w:rPr>
          <w:rFonts w:hint="eastAsia"/>
          <w:sz w:val="28"/>
          <w:szCs w:val="28"/>
        </w:rPr>
        <w:fldChar w:fldCharType="end"/>
      </w:r>
    </w:p>
    <w:p>
      <w:pPr>
        <w:pStyle w:val="17"/>
        <w:tabs>
          <w:tab w:val="right" w:leader="middleDot" w:pos="8720"/>
        </w:tabs>
        <w:rPr>
          <w:sz w:val="28"/>
          <w:szCs w:val="28"/>
        </w:rPr>
      </w:pPr>
      <w:r>
        <w:fldChar w:fldCharType="begin"/>
      </w:r>
      <w:r>
        <w:instrText xml:space="preserve"> HYPERLINK \l "_Toc108021872" </w:instrText>
      </w:r>
      <w:r>
        <w:fldChar w:fldCharType="separate"/>
      </w:r>
      <w:r>
        <w:rPr>
          <w:rStyle w:val="24"/>
          <w:rFonts w:hint="eastAsia" w:eastAsia="黑体"/>
          <w:sz w:val="28"/>
          <w:szCs w:val="28"/>
        </w:rPr>
        <w:t>第二章投标人须知</w:t>
      </w:r>
      <w:r>
        <w:rPr>
          <w:sz w:val="28"/>
          <w:szCs w:val="28"/>
        </w:rPr>
        <w:tab/>
      </w:r>
      <w:r>
        <w:rPr>
          <w:rFonts w:hint="eastAsia"/>
          <w:sz w:val="28"/>
          <w:szCs w:val="28"/>
        </w:rPr>
        <w:t>7</w:t>
      </w:r>
      <w:r>
        <w:rPr>
          <w:rFonts w:hint="eastAsia"/>
          <w:sz w:val="28"/>
          <w:szCs w:val="28"/>
        </w:rPr>
        <w:fldChar w:fldCharType="end"/>
      </w:r>
    </w:p>
    <w:p>
      <w:pPr>
        <w:pStyle w:val="17"/>
        <w:tabs>
          <w:tab w:val="right" w:leader="middleDot" w:pos="8720"/>
        </w:tabs>
        <w:rPr>
          <w:sz w:val="28"/>
          <w:szCs w:val="28"/>
        </w:rPr>
      </w:pPr>
      <w:r>
        <w:fldChar w:fldCharType="begin"/>
      </w:r>
      <w:r>
        <w:instrText xml:space="preserve"> HYPERLINK \l "_Toc108021874" </w:instrText>
      </w:r>
      <w:r>
        <w:fldChar w:fldCharType="separate"/>
      </w:r>
      <w:r>
        <w:rPr>
          <w:rStyle w:val="24"/>
          <w:rFonts w:hint="eastAsia" w:eastAsia="黑体"/>
          <w:sz w:val="28"/>
          <w:szCs w:val="28"/>
        </w:rPr>
        <w:t>第三章合同条款及格式</w:t>
      </w:r>
      <w:r>
        <w:rPr>
          <w:sz w:val="28"/>
          <w:szCs w:val="28"/>
        </w:rPr>
        <w:tab/>
      </w:r>
      <w:r>
        <w:rPr>
          <w:sz w:val="28"/>
          <w:szCs w:val="28"/>
        </w:rPr>
        <w:fldChar w:fldCharType="begin"/>
      </w:r>
      <w:r>
        <w:rPr>
          <w:sz w:val="28"/>
          <w:szCs w:val="28"/>
        </w:rPr>
        <w:instrText xml:space="preserve"> PAGEREF _Toc108021874 \h </w:instrText>
      </w:r>
      <w:r>
        <w:rPr>
          <w:sz w:val="28"/>
          <w:szCs w:val="28"/>
        </w:rPr>
        <w:fldChar w:fldCharType="separate"/>
      </w:r>
      <w:r>
        <w:rPr>
          <w:sz w:val="28"/>
          <w:szCs w:val="28"/>
        </w:rPr>
        <w:t>19</w:t>
      </w:r>
      <w:r>
        <w:rPr>
          <w:sz w:val="28"/>
          <w:szCs w:val="28"/>
        </w:rPr>
        <w:fldChar w:fldCharType="end"/>
      </w:r>
      <w:r>
        <w:rPr>
          <w:sz w:val="28"/>
          <w:szCs w:val="28"/>
        </w:rPr>
        <w:fldChar w:fldCharType="end"/>
      </w:r>
    </w:p>
    <w:p>
      <w:pPr>
        <w:pStyle w:val="17"/>
        <w:tabs>
          <w:tab w:val="right" w:leader="middleDot" w:pos="8720"/>
        </w:tabs>
        <w:rPr>
          <w:sz w:val="28"/>
          <w:szCs w:val="28"/>
        </w:rPr>
      </w:pPr>
      <w:r>
        <w:fldChar w:fldCharType="begin"/>
      </w:r>
      <w:r>
        <w:instrText xml:space="preserve"> HYPERLINK \l "_Toc108021875" </w:instrText>
      </w:r>
      <w:r>
        <w:fldChar w:fldCharType="separate"/>
      </w:r>
      <w:r>
        <w:rPr>
          <w:rStyle w:val="24"/>
          <w:rFonts w:hint="eastAsia" w:eastAsia="黑体"/>
          <w:sz w:val="28"/>
          <w:szCs w:val="28"/>
        </w:rPr>
        <w:t>第四章项目需求</w:t>
      </w:r>
      <w:r>
        <w:rPr>
          <w:sz w:val="28"/>
          <w:szCs w:val="28"/>
        </w:rPr>
        <w:tab/>
      </w:r>
      <w:r>
        <w:rPr>
          <w:rFonts w:hint="eastAsia"/>
          <w:sz w:val="28"/>
          <w:szCs w:val="28"/>
        </w:rPr>
        <w:t>24</w:t>
      </w:r>
      <w:r>
        <w:rPr>
          <w:rFonts w:hint="eastAsia"/>
          <w:sz w:val="28"/>
          <w:szCs w:val="28"/>
        </w:rPr>
        <w:fldChar w:fldCharType="end"/>
      </w:r>
    </w:p>
    <w:p>
      <w:pPr>
        <w:pStyle w:val="17"/>
        <w:tabs>
          <w:tab w:val="right" w:leader="middleDot" w:pos="8720"/>
        </w:tabs>
        <w:rPr>
          <w:sz w:val="28"/>
          <w:szCs w:val="28"/>
        </w:rPr>
      </w:pPr>
      <w:r>
        <w:fldChar w:fldCharType="begin"/>
      </w:r>
      <w:r>
        <w:instrText xml:space="preserve"> HYPERLINK \l "_Toc108021876" </w:instrText>
      </w:r>
      <w:r>
        <w:fldChar w:fldCharType="separate"/>
      </w:r>
      <w:r>
        <w:rPr>
          <w:rStyle w:val="24"/>
          <w:rFonts w:hint="eastAsia" w:eastAsia="黑体"/>
          <w:sz w:val="28"/>
          <w:szCs w:val="28"/>
        </w:rPr>
        <w:t>第五章定标原则与评标标准</w:t>
      </w:r>
      <w:r>
        <w:rPr>
          <w:sz w:val="28"/>
          <w:szCs w:val="28"/>
        </w:rPr>
        <w:tab/>
      </w:r>
      <w:r>
        <w:rPr>
          <w:sz w:val="28"/>
          <w:szCs w:val="28"/>
        </w:rPr>
        <w:fldChar w:fldCharType="begin"/>
      </w:r>
      <w:r>
        <w:rPr>
          <w:sz w:val="28"/>
          <w:szCs w:val="28"/>
        </w:rPr>
        <w:instrText xml:space="preserve"> PAGEREF _Toc108021876 \h </w:instrText>
      </w:r>
      <w:r>
        <w:rPr>
          <w:sz w:val="28"/>
          <w:szCs w:val="28"/>
        </w:rPr>
        <w:fldChar w:fldCharType="separate"/>
      </w:r>
      <w:r>
        <w:rPr>
          <w:sz w:val="28"/>
          <w:szCs w:val="28"/>
        </w:rPr>
        <w:t>28</w:t>
      </w:r>
      <w:r>
        <w:rPr>
          <w:sz w:val="28"/>
          <w:szCs w:val="28"/>
        </w:rPr>
        <w:fldChar w:fldCharType="end"/>
      </w:r>
      <w:r>
        <w:rPr>
          <w:sz w:val="28"/>
          <w:szCs w:val="28"/>
        </w:rPr>
        <w:fldChar w:fldCharType="end"/>
      </w:r>
    </w:p>
    <w:p>
      <w:pPr>
        <w:pStyle w:val="17"/>
        <w:tabs>
          <w:tab w:val="right" w:leader="middleDot" w:pos="8720"/>
        </w:tabs>
        <w:rPr>
          <w:sz w:val="28"/>
          <w:szCs w:val="28"/>
        </w:rPr>
      </w:pPr>
      <w:r>
        <w:fldChar w:fldCharType="begin"/>
      </w:r>
      <w:r>
        <w:instrText xml:space="preserve"> HYPERLINK \l "_Toc108021877" </w:instrText>
      </w:r>
      <w:r>
        <w:fldChar w:fldCharType="separate"/>
      </w:r>
      <w:r>
        <w:rPr>
          <w:rStyle w:val="24"/>
          <w:rFonts w:hint="eastAsia" w:eastAsia="黑体"/>
          <w:sz w:val="28"/>
          <w:szCs w:val="28"/>
        </w:rPr>
        <w:t>第六章投标文件的组成和格式</w:t>
      </w:r>
      <w:r>
        <w:rPr>
          <w:sz w:val="28"/>
          <w:szCs w:val="28"/>
        </w:rPr>
        <w:tab/>
      </w:r>
      <w:r>
        <w:rPr>
          <w:sz w:val="28"/>
          <w:szCs w:val="28"/>
        </w:rPr>
        <w:fldChar w:fldCharType="begin"/>
      </w:r>
      <w:r>
        <w:rPr>
          <w:sz w:val="28"/>
          <w:szCs w:val="28"/>
        </w:rPr>
        <w:instrText xml:space="preserve"> PAGEREF _Toc108021877 \h </w:instrText>
      </w:r>
      <w:r>
        <w:rPr>
          <w:sz w:val="28"/>
          <w:szCs w:val="28"/>
        </w:rPr>
        <w:fldChar w:fldCharType="separate"/>
      </w:r>
      <w:r>
        <w:rPr>
          <w:sz w:val="28"/>
          <w:szCs w:val="28"/>
        </w:rPr>
        <w:t>31</w:t>
      </w:r>
      <w:r>
        <w:rPr>
          <w:sz w:val="28"/>
          <w:szCs w:val="28"/>
        </w:rPr>
        <w:fldChar w:fldCharType="end"/>
      </w:r>
      <w:r>
        <w:rPr>
          <w:sz w:val="28"/>
          <w:szCs w:val="28"/>
        </w:rPr>
        <w:fldChar w:fldCharType="end"/>
      </w:r>
    </w:p>
    <w:p>
      <w:pPr>
        <w:pStyle w:val="25"/>
      </w:pPr>
      <w:r>
        <w:rPr>
          <w:sz w:val="28"/>
          <w:szCs w:val="28"/>
        </w:rPr>
        <w:fldChar w:fldCharType="end"/>
      </w:r>
    </w:p>
    <w:p>
      <w:pPr>
        <w:widowControl/>
        <w:jc w:val="left"/>
        <w:rPr>
          <w:color w:val="000000"/>
          <w:kern w:val="0"/>
          <w:sz w:val="24"/>
          <w:szCs w:val="24"/>
        </w:rPr>
      </w:pPr>
      <w:r>
        <w:br w:type="page"/>
      </w:r>
    </w:p>
    <w:p>
      <w:pPr>
        <w:widowControl/>
        <w:jc w:val="center"/>
        <w:rPr>
          <w:b/>
          <w:bCs/>
          <w:color w:val="000000" w:themeColor="text1"/>
          <w:sz w:val="40"/>
          <w:szCs w:val="40"/>
        </w:rPr>
      </w:pPr>
      <w:bookmarkStart w:id="1" w:name="_Toc108021865"/>
      <w:r>
        <w:rPr>
          <w:rFonts w:eastAsia="黑体"/>
          <w:color w:val="000000" w:themeColor="text1"/>
          <w:sz w:val="40"/>
          <w:szCs w:val="40"/>
        </w:rPr>
        <w:t>第一章 采购公告</w:t>
      </w:r>
      <w:bookmarkEnd w:id="1"/>
    </w:p>
    <w:p>
      <w:pPr>
        <w:rPr>
          <w:color w:val="000000" w:themeColor="text1"/>
        </w:rPr>
      </w:pPr>
    </w:p>
    <w:p>
      <w:pPr>
        <w:pBdr>
          <w:top w:val="single" w:color="auto" w:sz="4" w:space="1"/>
          <w:left w:val="single" w:color="auto" w:sz="4" w:space="4"/>
          <w:bottom w:val="single" w:color="auto" w:sz="4" w:space="1"/>
          <w:right w:val="single" w:color="auto" w:sz="4" w:space="4"/>
        </w:pBdr>
        <w:spacing w:line="360" w:lineRule="auto"/>
        <w:ind w:firstLine="422" w:firstLineChars="200"/>
        <w:rPr>
          <w:b/>
          <w:color w:val="000000" w:themeColor="text1"/>
          <w:sz w:val="24"/>
          <w:szCs w:val="24"/>
        </w:rPr>
      </w:pPr>
      <w:r>
        <w:rPr>
          <w:b/>
          <w:color w:val="000000" w:themeColor="text1"/>
        </w:rPr>
        <w:t>项目概况</w:t>
      </w:r>
    </w:p>
    <w:p>
      <w:pPr>
        <w:pBdr>
          <w:top w:val="single" w:color="auto" w:sz="4" w:space="1"/>
          <w:left w:val="single" w:color="auto" w:sz="4" w:space="4"/>
          <w:bottom w:val="single" w:color="auto" w:sz="4" w:space="1"/>
          <w:right w:val="single" w:color="auto" w:sz="4" w:space="4"/>
        </w:pBdr>
        <w:spacing w:line="360" w:lineRule="auto"/>
        <w:ind w:firstLine="420" w:firstLineChars="200"/>
        <w:rPr>
          <w:color w:val="000000" w:themeColor="text1"/>
        </w:rPr>
      </w:pPr>
      <w:r>
        <w:rPr>
          <w:color w:val="000000" w:themeColor="text1"/>
          <w:u w:val="single"/>
        </w:rPr>
        <w:t>盐城幼儿师范高等专科学校2022年纸质图书采购项目</w:t>
      </w:r>
      <w:r>
        <w:rPr>
          <w:color w:val="000000" w:themeColor="text1"/>
        </w:rPr>
        <w:t>的潜在供应商应在</w:t>
      </w:r>
      <w:r>
        <w:rPr>
          <w:color w:val="000000" w:themeColor="text1"/>
          <w:u w:val="single"/>
        </w:rPr>
        <w:t>江苏政府采购网http://www.ccgp-jiangsu.gov.cn/、盐城市政府采购网http://czj.yancheng.gov.cn/col/col2383/index.html、盐城幼儿师范高等专科学校网站www.yyz.edu.cn</w:t>
      </w:r>
      <w:r>
        <w:rPr>
          <w:color w:val="000000" w:themeColor="text1"/>
        </w:rPr>
        <w:t>获取采购文件，并于</w:t>
      </w:r>
      <w:r>
        <w:rPr>
          <w:rFonts w:hint="eastAsia"/>
          <w:color w:val="000000" w:themeColor="text1"/>
          <w:u w:val="single"/>
        </w:rPr>
        <w:t>2022年</w:t>
      </w:r>
      <w:r>
        <w:rPr>
          <w:rFonts w:hint="eastAsia"/>
          <w:color w:val="000000" w:themeColor="text1"/>
          <w:u w:val="single"/>
          <w:lang w:val="en-US" w:eastAsia="zh-CN"/>
        </w:rPr>
        <w:t>10</w:t>
      </w:r>
      <w:r>
        <w:rPr>
          <w:color w:val="000000" w:themeColor="text1"/>
          <w:u w:val="single"/>
        </w:rPr>
        <w:t>月</w:t>
      </w:r>
      <w:r>
        <w:rPr>
          <w:rFonts w:hint="eastAsia"/>
          <w:color w:val="000000" w:themeColor="text1"/>
          <w:u w:val="single"/>
          <w:lang w:val="en-US" w:eastAsia="zh-CN"/>
        </w:rPr>
        <w:t>21</w:t>
      </w:r>
      <w:r>
        <w:rPr>
          <w:color w:val="000000" w:themeColor="text1"/>
          <w:u w:val="single"/>
        </w:rPr>
        <w:t>日15点00分</w:t>
      </w:r>
      <w:r>
        <w:rPr>
          <w:color w:val="000000" w:themeColor="text1"/>
        </w:rPr>
        <w:t>（北京时间）前提交投标文件。</w:t>
      </w:r>
    </w:p>
    <w:p>
      <w:pPr>
        <w:spacing w:line="440" w:lineRule="exact"/>
        <w:ind w:firstLine="482" w:firstLineChars="200"/>
        <w:rPr>
          <w:b/>
          <w:color w:val="000000" w:themeColor="text1"/>
          <w:sz w:val="24"/>
          <w:szCs w:val="24"/>
        </w:rPr>
      </w:pPr>
      <w:r>
        <w:rPr>
          <w:b/>
          <w:color w:val="000000" w:themeColor="text1"/>
          <w:sz w:val="24"/>
          <w:szCs w:val="24"/>
        </w:rPr>
        <w:t>一、项目基本情况</w:t>
      </w:r>
    </w:p>
    <w:p>
      <w:pPr>
        <w:spacing w:line="440" w:lineRule="exact"/>
        <w:ind w:firstLine="480" w:firstLineChars="200"/>
        <w:rPr>
          <w:color w:val="000000" w:themeColor="text1"/>
          <w:sz w:val="24"/>
          <w:szCs w:val="24"/>
        </w:rPr>
      </w:pPr>
      <w:r>
        <w:rPr>
          <w:color w:val="000000" w:themeColor="text1"/>
          <w:sz w:val="24"/>
          <w:szCs w:val="24"/>
        </w:rPr>
        <w:t>项目编号：</w:t>
      </w:r>
      <w:r>
        <w:rPr>
          <w:rFonts w:hint="eastAsia"/>
          <w:color w:val="000000" w:themeColor="text1"/>
          <w:sz w:val="24"/>
          <w:szCs w:val="24"/>
        </w:rPr>
        <w:t>ycyz2022hw001</w:t>
      </w:r>
    </w:p>
    <w:p>
      <w:pPr>
        <w:spacing w:line="440" w:lineRule="exact"/>
        <w:ind w:firstLine="480" w:firstLineChars="200"/>
        <w:rPr>
          <w:color w:val="000000" w:themeColor="text1"/>
          <w:sz w:val="24"/>
          <w:szCs w:val="24"/>
        </w:rPr>
      </w:pPr>
      <w:r>
        <w:rPr>
          <w:color w:val="000000" w:themeColor="text1"/>
          <w:sz w:val="24"/>
          <w:szCs w:val="24"/>
        </w:rPr>
        <w:t>项目名称：盐城幼儿师范高等专科学校2022年纸质图书采购项目</w:t>
      </w:r>
    </w:p>
    <w:p>
      <w:pPr>
        <w:spacing w:line="440" w:lineRule="exact"/>
        <w:ind w:firstLine="480" w:firstLineChars="200"/>
        <w:rPr>
          <w:color w:val="000000" w:themeColor="text1"/>
          <w:sz w:val="24"/>
          <w:szCs w:val="24"/>
        </w:rPr>
      </w:pPr>
      <w:r>
        <w:rPr>
          <w:color w:val="000000" w:themeColor="text1"/>
          <w:sz w:val="24"/>
          <w:szCs w:val="24"/>
        </w:rPr>
        <w:t>采购方式：公开招标</w:t>
      </w:r>
    </w:p>
    <w:p>
      <w:pPr>
        <w:spacing w:line="440" w:lineRule="exact"/>
        <w:ind w:firstLine="480" w:firstLineChars="200"/>
        <w:rPr>
          <w:color w:val="000000" w:themeColor="text1"/>
          <w:sz w:val="24"/>
          <w:szCs w:val="24"/>
        </w:rPr>
      </w:pPr>
      <w:r>
        <w:rPr>
          <w:color w:val="000000" w:themeColor="text1"/>
          <w:sz w:val="24"/>
          <w:szCs w:val="24"/>
        </w:rPr>
        <w:t>预算金额：</w:t>
      </w:r>
      <w:r>
        <w:rPr>
          <w:color w:val="000000" w:themeColor="text1"/>
          <w:sz w:val="24"/>
          <w:szCs w:val="24"/>
          <w:u w:val="single"/>
        </w:rPr>
        <w:t>70</w:t>
      </w:r>
      <w:r>
        <w:rPr>
          <w:color w:val="000000" w:themeColor="text1"/>
          <w:sz w:val="24"/>
          <w:szCs w:val="24"/>
        </w:rPr>
        <w:t>万元</w:t>
      </w:r>
    </w:p>
    <w:p>
      <w:pPr>
        <w:spacing w:line="440" w:lineRule="exact"/>
        <w:ind w:firstLine="480" w:firstLineChars="200"/>
        <w:rPr>
          <w:color w:val="000000" w:themeColor="text1"/>
          <w:sz w:val="24"/>
          <w:szCs w:val="24"/>
        </w:rPr>
      </w:pPr>
      <w:r>
        <w:rPr>
          <w:rFonts w:hint="eastAsia"/>
          <w:color w:val="000000" w:themeColor="text1"/>
          <w:sz w:val="24"/>
          <w:szCs w:val="24"/>
        </w:rPr>
        <w:t>实    洋</w:t>
      </w:r>
      <w:r>
        <w:rPr>
          <w:color w:val="000000" w:themeColor="text1"/>
          <w:sz w:val="24"/>
          <w:szCs w:val="24"/>
        </w:rPr>
        <w:t>：</w:t>
      </w:r>
      <w:r>
        <w:rPr>
          <w:color w:val="000000" w:themeColor="text1"/>
          <w:sz w:val="24"/>
          <w:szCs w:val="24"/>
          <w:u w:val="single"/>
        </w:rPr>
        <w:t>70</w:t>
      </w:r>
      <w:r>
        <w:rPr>
          <w:color w:val="000000" w:themeColor="text1"/>
          <w:sz w:val="24"/>
          <w:szCs w:val="24"/>
        </w:rPr>
        <w:t>万元</w:t>
      </w:r>
    </w:p>
    <w:p>
      <w:pPr>
        <w:spacing w:line="440" w:lineRule="exact"/>
        <w:ind w:firstLine="480" w:firstLineChars="200"/>
        <w:rPr>
          <w:color w:val="000000" w:themeColor="text1"/>
          <w:sz w:val="24"/>
          <w:szCs w:val="24"/>
        </w:rPr>
      </w:pPr>
      <w:r>
        <w:rPr>
          <w:color w:val="000000" w:themeColor="text1"/>
          <w:sz w:val="24"/>
          <w:szCs w:val="24"/>
        </w:rPr>
        <w:t>采购需求：详见第四章项目需求。</w:t>
      </w:r>
    </w:p>
    <w:p>
      <w:pPr>
        <w:spacing w:line="440" w:lineRule="exact"/>
        <w:ind w:firstLine="480" w:firstLineChars="200"/>
        <w:rPr>
          <w:color w:val="000000" w:themeColor="text1"/>
          <w:sz w:val="24"/>
          <w:szCs w:val="24"/>
        </w:rPr>
      </w:pPr>
      <w:r>
        <w:rPr>
          <w:color w:val="000000" w:themeColor="text1"/>
          <w:sz w:val="24"/>
          <w:szCs w:val="24"/>
        </w:rPr>
        <w:t>合同履行期限：中标单位必须严格按照采购单位提供的图书采购目录及数量配书并及时供货，自签订合同之日起，30日内图书到货完毕，60日内编目上架完毕。加工和上架工作，延期一天将处罚金50元。必须保证编目加工的质量，加工差错率大于3‰，按单一进书批次来计算，则每大于0.1个百分点，将处罚金100元，该罚金将从购书款中扣除。合计工期60个日历天。</w:t>
      </w:r>
    </w:p>
    <w:p>
      <w:pPr>
        <w:spacing w:line="440" w:lineRule="exact"/>
        <w:ind w:firstLine="480" w:firstLineChars="200"/>
        <w:rPr>
          <w:color w:val="000000" w:themeColor="text1"/>
          <w:sz w:val="24"/>
          <w:szCs w:val="24"/>
        </w:rPr>
      </w:pPr>
      <w:r>
        <w:rPr>
          <w:color w:val="000000" w:themeColor="text1"/>
          <w:sz w:val="24"/>
          <w:szCs w:val="24"/>
        </w:rPr>
        <w:t>本项目不接受联合体参与投标。</w:t>
      </w:r>
    </w:p>
    <w:p>
      <w:pPr>
        <w:spacing w:line="440" w:lineRule="exact"/>
        <w:ind w:firstLine="482" w:firstLineChars="200"/>
        <w:rPr>
          <w:b/>
          <w:color w:val="000000" w:themeColor="text1"/>
          <w:sz w:val="24"/>
          <w:szCs w:val="24"/>
        </w:rPr>
      </w:pPr>
      <w:r>
        <w:rPr>
          <w:b/>
          <w:color w:val="000000" w:themeColor="text1"/>
          <w:sz w:val="24"/>
          <w:szCs w:val="24"/>
        </w:rPr>
        <w:t>二、申请人的资格要求：</w:t>
      </w:r>
    </w:p>
    <w:p>
      <w:pPr>
        <w:spacing w:line="440" w:lineRule="exact"/>
        <w:ind w:firstLine="480" w:firstLineChars="200"/>
        <w:rPr>
          <w:color w:val="000000" w:themeColor="text1"/>
          <w:sz w:val="24"/>
          <w:szCs w:val="24"/>
        </w:rPr>
      </w:pPr>
      <w:r>
        <w:rPr>
          <w:color w:val="000000" w:themeColor="text1"/>
          <w:sz w:val="24"/>
          <w:szCs w:val="24"/>
        </w:rPr>
        <w:t>1.满足《中华人民共和国政府采购法》第二十二条规定，并提供下列材料；</w:t>
      </w:r>
    </w:p>
    <w:p>
      <w:pPr>
        <w:spacing w:line="440" w:lineRule="exact"/>
        <w:ind w:firstLine="480" w:firstLineChars="200"/>
        <w:rPr>
          <w:color w:val="000000" w:themeColor="text1"/>
          <w:sz w:val="24"/>
          <w:szCs w:val="24"/>
        </w:rPr>
      </w:pPr>
      <w:r>
        <w:rPr>
          <w:color w:val="000000" w:themeColor="text1"/>
          <w:sz w:val="24"/>
          <w:szCs w:val="24"/>
        </w:rPr>
        <w:t>（1）法人或者其他组织的营业执照等证明文件，自然人的身份证明；</w:t>
      </w:r>
    </w:p>
    <w:p>
      <w:pPr>
        <w:spacing w:line="440" w:lineRule="exact"/>
        <w:ind w:firstLine="480" w:firstLineChars="200"/>
        <w:rPr>
          <w:color w:val="000000" w:themeColor="text1"/>
          <w:sz w:val="24"/>
          <w:szCs w:val="24"/>
        </w:rPr>
      </w:pPr>
      <w:r>
        <w:rPr>
          <w:color w:val="000000" w:themeColor="text1"/>
          <w:sz w:val="24"/>
          <w:szCs w:val="24"/>
        </w:rPr>
        <w:t>（2）上一年度的财务报表（成立不满一年不需提供）；</w:t>
      </w:r>
    </w:p>
    <w:p>
      <w:pPr>
        <w:spacing w:line="440" w:lineRule="exact"/>
        <w:ind w:firstLine="480" w:firstLineChars="200"/>
        <w:rPr>
          <w:color w:val="000000" w:themeColor="text1"/>
          <w:sz w:val="24"/>
          <w:szCs w:val="24"/>
        </w:rPr>
      </w:pPr>
      <w:r>
        <w:rPr>
          <w:color w:val="000000" w:themeColor="text1"/>
          <w:sz w:val="24"/>
          <w:szCs w:val="24"/>
        </w:rPr>
        <w:t>（3）依法缴纳税收和社会保障资金的相关材料；</w:t>
      </w:r>
    </w:p>
    <w:p>
      <w:pPr>
        <w:spacing w:line="440" w:lineRule="exact"/>
        <w:ind w:firstLine="480" w:firstLineChars="200"/>
        <w:rPr>
          <w:color w:val="000000" w:themeColor="text1"/>
          <w:sz w:val="24"/>
          <w:szCs w:val="24"/>
        </w:rPr>
      </w:pPr>
      <w:r>
        <w:rPr>
          <w:color w:val="000000" w:themeColor="text1"/>
          <w:sz w:val="24"/>
          <w:szCs w:val="24"/>
        </w:rPr>
        <w:t>（4）具备履行合同所必需的设备和专业技术能力的书面声明；</w:t>
      </w:r>
    </w:p>
    <w:p>
      <w:pPr>
        <w:spacing w:line="440" w:lineRule="exact"/>
        <w:ind w:firstLine="480" w:firstLineChars="200"/>
        <w:rPr>
          <w:color w:val="000000" w:themeColor="text1"/>
          <w:sz w:val="24"/>
          <w:szCs w:val="24"/>
        </w:rPr>
      </w:pPr>
      <w:r>
        <w:rPr>
          <w:color w:val="000000" w:themeColor="text1"/>
          <w:sz w:val="24"/>
          <w:szCs w:val="24"/>
        </w:rPr>
        <w:t>（5）参加政府采购活动前3年内在经营活动中没有重大违法记录的书面声明；</w:t>
      </w:r>
    </w:p>
    <w:p>
      <w:pPr>
        <w:spacing w:line="440" w:lineRule="exact"/>
        <w:ind w:firstLine="480" w:firstLineChars="200"/>
        <w:rPr>
          <w:color w:val="000000" w:themeColor="text1"/>
          <w:sz w:val="24"/>
          <w:szCs w:val="24"/>
        </w:rPr>
      </w:pPr>
      <w:r>
        <w:rPr>
          <w:color w:val="000000" w:themeColor="text1"/>
          <w:sz w:val="24"/>
          <w:szCs w:val="24"/>
        </w:rPr>
        <w:t>2.落实政府采购政策需满足的资格要求：</w:t>
      </w:r>
      <w:r>
        <w:rPr>
          <w:color w:val="000000" w:themeColor="text1"/>
          <w:sz w:val="24"/>
          <w:szCs w:val="24"/>
          <w:u w:val="single"/>
        </w:rPr>
        <w:t>无</w:t>
      </w:r>
    </w:p>
    <w:p>
      <w:pPr>
        <w:spacing w:line="440" w:lineRule="exact"/>
        <w:ind w:firstLine="480" w:firstLineChars="200"/>
        <w:rPr>
          <w:color w:val="000000" w:themeColor="text1"/>
          <w:sz w:val="24"/>
          <w:szCs w:val="24"/>
        </w:rPr>
      </w:pPr>
      <w:r>
        <w:rPr>
          <w:color w:val="000000" w:themeColor="text1"/>
          <w:sz w:val="24"/>
          <w:szCs w:val="24"/>
        </w:rPr>
        <w:t>3.本项目的特定资格要求：</w:t>
      </w:r>
    </w:p>
    <w:p>
      <w:pPr>
        <w:spacing w:line="440" w:lineRule="exact"/>
        <w:ind w:firstLine="480" w:firstLineChars="200"/>
        <w:rPr>
          <w:color w:val="000000" w:themeColor="text1"/>
          <w:sz w:val="24"/>
          <w:szCs w:val="24"/>
        </w:rPr>
      </w:pPr>
      <w:r>
        <w:rPr>
          <w:color w:val="000000" w:themeColor="text1"/>
          <w:sz w:val="24"/>
          <w:szCs w:val="24"/>
        </w:rPr>
        <w:t>（1）投标人具有省级及以上新闻出版部门颁发的具有批发资质的《出版物经营许可证》。（投标时投标文件中须提供《出版物经营许可证》复印件</w:t>
      </w:r>
      <w:r>
        <w:rPr>
          <w:rFonts w:hint="eastAsia"/>
          <w:color w:val="000000" w:themeColor="text1"/>
          <w:sz w:val="24"/>
          <w:szCs w:val="24"/>
        </w:rPr>
        <w:t>、</w:t>
      </w:r>
      <w:r>
        <w:rPr>
          <w:color w:val="000000" w:themeColor="text1"/>
          <w:sz w:val="24"/>
          <w:szCs w:val="24"/>
        </w:rPr>
        <w:t>原件必须随身携带以供备查）</w:t>
      </w:r>
    </w:p>
    <w:p>
      <w:pPr>
        <w:shd w:val="clear" w:color="auto" w:fill="FFFFFF"/>
        <w:spacing w:line="440" w:lineRule="exact"/>
        <w:ind w:firstLine="480" w:firstLineChars="200"/>
        <w:rPr>
          <w:color w:val="000000" w:themeColor="text1"/>
          <w:sz w:val="24"/>
          <w:szCs w:val="24"/>
        </w:rPr>
      </w:pPr>
      <w:r>
        <w:rPr>
          <w:rFonts w:hint="eastAsia"/>
          <w:color w:val="000000" w:themeColor="text1"/>
          <w:sz w:val="24"/>
          <w:szCs w:val="24"/>
        </w:rPr>
        <w:t>（2）未被“信用中国”网站（www.creditchina.gov.cn）列入失信被执行人、重大税收违法案件当事人名单、政府采购严重失信行为记录名单。</w:t>
      </w:r>
    </w:p>
    <w:p>
      <w:pPr>
        <w:shd w:val="clear" w:color="auto" w:fill="FFFFFF"/>
        <w:spacing w:line="440" w:lineRule="exact"/>
        <w:ind w:firstLine="480" w:firstLineChars="200"/>
        <w:rPr>
          <w:color w:val="000000" w:themeColor="text1"/>
          <w:sz w:val="24"/>
          <w:szCs w:val="24"/>
        </w:rPr>
      </w:pPr>
      <w:r>
        <w:rPr>
          <w:color w:val="000000" w:themeColor="text1"/>
          <w:sz w:val="24"/>
          <w:szCs w:val="24"/>
        </w:rPr>
        <w:t>（3）单位负责人为同一人或者存在直接控股、管理关系的不同供应商，不得参加同一合同项下的政府采购活动。</w:t>
      </w:r>
      <w:bookmarkStart w:id="2" w:name="_Toc28359092"/>
    </w:p>
    <w:p>
      <w:pPr>
        <w:pStyle w:val="4"/>
        <w:keepNext w:val="0"/>
        <w:keepLines w:val="0"/>
        <w:spacing w:before="0" w:after="0" w:line="440" w:lineRule="exact"/>
        <w:ind w:firstLine="482" w:firstLineChars="200"/>
        <w:jc w:val="both"/>
        <w:rPr>
          <w:rFonts w:ascii="Times New Roman" w:hAnsi="Times New Roman" w:eastAsia="宋体" w:cs="Times New Roman"/>
          <w:color w:val="000000" w:themeColor="text1"/>
          <w:sz w:val="24"/>
          <w:szCs w:val="24"/>
        </w:rPr>
      </w:pPr>
      <w:bookmarkStart w:id="3" w:name="_Toc108021866"/>
      <w:bookmarkStart w:id="4" w:name="_Toc35393800"/>
      <w:r>
        <w:rPr>
          <w:rFonts w:ascii="Times New Roman" w:hAnsi="Times New Roman" w:eastAsia="宋体" w:cs="Times New Roman"/>
          <w:color w:val="000000" w:themeColor="text1"/>
          <w:sz w:val="24"/>
          <w:szCs w:val="24"/>
          <w:shd w:val="clear" w:color="auto" w:fill="FFFFFF"/>
        </w:rPr>
        <w:t>三、获取招标文件</w:t>
      </w:r>
      <w:bookmarkEnd w:id="3"/>
    </w:p>
    <w:bookmarkEnd w:id="2"/>
    <w:bookmarkEnd w:id="4"/>
    <w:p>
      <w:pPr>
        <w:tabs>
          <w:tab w:val="left" w:pos="900"/>
        </w:tabs>
        <w:spacing w:line="440" w:lineRule="exact"/>
        <w:ind w:firstLine="480" w:firstLineChars="200"/>
        <w:rPr>
          <w:color w:val="000000"/>
          <w:sz w:val="24"/>
          <w:szCs w:val="24"/>
        </w:rPr>
      </w:pPr>
      <w:r>
        <w:rPr>
          <w:rFonts w:hint="eastAsia"/>
          <w:color w:val="000000"/>
          <w:sz w:val="24"/>
          <w:szCs w:val="24"/>
        </w:rPr>
        <w:t>招标文件获取：招标文件在江苏政府采购网http://www.ccgp-jiangsu.gov.cn/、盐城市政府采购网http://czj.yancheng.gov.cn/col/col2383/index.html 、盐城幼儿师范高等专科学校网站www.yyz.edu.cn下载。有关本次招标的事项若存在变动或修改，敬请及时关注江苏政府采购网http://www.ccgp-jiangsu.gov.cn/、盐城市政府采购网http://czj.yancheng.gov.cn/col/col2383/index.html 、盐城幼儿师范高等专科学校网站www.yyz.edu.cn发布的信息更正公告。</w:t>
      </w:r>
    </w:p>
    <w:p>
      <w:pPr>
        <w:tabs>
          <w:tab w:val="left" w:pos="900"/>
        </w:tabs>
        <w:spacing w:line="440" w:lineRule="exact"/>
        <w:ind w:firstLine="480" w:firstLineChars="200"/>
        <w:rPr>
          <w:color w:val="000000"/>
          <w:sz w:val="24"/>
          <w:szCs w:val="24"/>
        </w:rPr>
      </w:pPr>
      <w:r>
        <w:rPr>
          <w:rFonts w:hint="eastAsia"/>
          <w:color w:val="000000"/>
          <w:sz w:val="24"/>
          <w:szCs w:val="24"/>
        </w:rPr>
        <w:t>售价：投标人递交投标文件时，须交纳文件工本费500元。</w:t>
      </w:r>
    </w:p>
    <w:p>
      <w:pPr>
        <w:tabs>
          <w:tab w:val="left" w:pos="900"/>
        </w:tabs>
        <w:spacing w:line="440" w:lineRule="exact"/>
        <w:ind w:firstLine="480" w:firstLineChars="200"/>
        <w:rPr>
          <w:color w:val="000000"/>
          <w:sz w:val="24"/>
          <w:szCs w:val="24"/>
        </w:rPr>
      </w:pPr>
      <w:r>
        <w:rPr>
          <w:rFonts w:hint="eastAsia"/>
          <w:color w:val="000000"/>
          <w:sz w:val="24"/>
          <w:szCs w:val="24"/>
        </w:rPr>
        <w:t>文件工本费的收取方式：开标时现场现金缴纳，由代理公司收取，投标人无论中标与否，文件工本费不退。</w:t>
      </w:r>
    </w:p>
    <w:p>
      <w:pPr>
        <w:tabs>
          <w:tab w:val="left" w:pos="900"/>
        </w:tabs>
        <w:spacing w:line="440" w:lineRule="exact"/>
        <w:ind w:firstLine="480" w:firstLineChars="200"/>
        <w:rPr>
          <w:color w:val="000000"/>
          <w:sz w:val="24"/>
          <w:szCs w:val="24"/>
        </w:rPr>
      </w:pPr>
      <w:r>
        <w:rPr>
          <w:rFonts w:hint="eastAsia"/>
          <w:color w:val="000000"/>
          <w:sz w:val="24"/>
          <w:szCs w:val="24"/>
        </w:rPr>
        <w:t>投标人通过其他渠道获取的与本项目招标相关的资料，招标人一律不予承认且不承担由此引发的一切责任。</w:t>
      </w:r>
    </w:p>
    <w:p>
      <w:pPr>
        <w:pStyle w:val="4"/>
        <w:keepNext w:val="0"/>
        <w:keepLines w:val="0"/>
        <w:spacing w:before="0" w:after="0" w:line="440" w:lineRule="exact"/>
        <w:ind w:firstLine="482" w:firstLineChars="200"/>
        <w:jc w:val="both"/>
        <w:rPr>
          <w:rFonts w:ascii="Times New Roman" w:hAnsi="Times New Roman" w:eastAsia="宋体" w:cs="Times New Roman"/>
          <w:color w:val="000000" w:themeColor="text1"/>
          <w:sz w:val="24"/>
          <w:szCs w:val="24"/>
          <w:shd w:val="clear" w:color="auto" w:fill="FFFFFF"/>
        </w:rPr>
      </w:pPr>
      <w:bookmarkStart w:id="5" w:name="_Toc108021867"/>
      <w:r>
        <w:rPr>
          <w:rFonts w:ascii="Times New Roman" w:hAnsi="Times New Roman" w:eastAsia="宋体" w:cs="Times New Roman"/>
          <w:color w:val="000000" w:themeColor="text1"/>
          <w:sz w:val="24"/>
          <w:szCs w:val="24"/>
          <w:shd w:val="clear" w:color="auto" w:fill="FFFFFF"/>
        </w:rPr>
        <w:t>四、</w:t>
      </w:r>
      <w:r>
        <w:rPr>
          <w:rFonts w:hint="eastAsia" w:ascii="Times New Roman" w:hAnsi="Times New Roman" w:eastAsia="宋体" w:cs="Times New Roman"/>
          <w:color w:val="000000" w:themeColor="text1"/>
          <w:sz w:val="24"/>
          <w:szCs w:val="24"/>
          <w:shd w:val="clear" w:color="auto" w:fill="FFFFFF"/>
        </w:rPr>
        <w:t>投标</w:t>
      </w:r>
      <w:r>
        <w:rPr>
          <w:rFonts w:ascii="Times New Roman" w:hAnsi="Times New Roman" w:eastAsia="宋体" w:cs="Times New Roman"/>
          <w:color w:val="000000" w:themeColor="text1"/>
          <w:sz w:val="24"/>
          <w:szCs w:val="24"/>
          <w:shd w:val="clear" w:color="auto" w:fill="FFFFFF"/>
        </w:rPr>
        <w:t>文件提交</w:t>
      </w:r>
      <w:bookmarkEnd w:id="5"/>
    </w:p>
    <w:p>
      <w:pPr>
        <w:tabs>
          <w:tab w:val="left" w:pos="900"/>
        </w:tabs>
        <w:spacing w:line="440" w:lineRule="exact"/>
        <w:ind w:firstLine="480" w:firstLineChars="200"/>
        <w:rPr>
          <w:color w:val="000000"/>
          <w:sz w:val="24"/>
          <w:szCs w:val="24"/>
        </w:rPr>
      </w:pPr>
      <w:bookmarkStart w:id="6" w:name="_Toc105320190"/>
      <w:r>
        <w:rPr>
          <w:rFonts w:hint="eastAsia"/>
          <w:color w:val="000000"/>
          <w:sz w:val="24"/>
          <w:szCs w:val="24"/>
        </w:rPr>
        <w:t>投标文件接收时间：2022年</w:t>
      </w:r>
      <w:r>
        <w:rPr>
          <w:rFonts w:hint="eastAsia"/>
          <w:color w:val="000000"/>
          <w:sz w:val="24"/>
          <w:szCs w:val="24"/>
          <w:lang w:val="en-US" w:eastAsia="zh-CN"/>
        </w:rPr>
        <w:t>10</w:t>
      </w:r>
      <w:r>
        <w:rPr>
          <w:rFonts w:hint="eastAsia"/>
          <w:color w:val="000000"/>
          <w:sz w:val="24"/>
          <w:szCs w:val="24"/>
        </w:rPr>
        <w:t>月</w:t>
      </w:r>
      <w:r>
        <w:rPr>
          <w:rFonts w:hint="eastAsia"/>
          <w:color w:val="000000"/>
          <w:sz w:val="24"/>
          <w:szCs w:val="24"/>
          <w:lang w:val="en-US" w:eastAsia="zh-CN"/>
        </w:rPr>
        <w:t>21</w:t>
      </w:r>
      <w:r>
        <w:rPr>
          <w:rFonts w:hint="eastAsia"/>
          <w:color w:val="000000"/>
          <w:sz w:val="24"/>
          <w:szCs w:val="24"/>
        </w:rPr>
        <w:t>日14: 30-15: 00 时</w:t>
      </w:r>
      <w:bookmarkEnd w:id="6"/>
    </w:p>
    <w:p>
      <w:pPr>
        <w:tabs>
          <w:tab w:val="left" w:pos="900"/>
        </w:tabs>
        <w:spacing w:line="440" w:lineRule="exact"/>
        <w:ind w:firstLine="480" w:firstLineChars="200"/>
        <w:rPr>
          <w:color w:val="000000"/>
          <w:sz w:val="24"/>
          <w:szCs w:val="24"/>
        </w:rPr>
      </w:pPr>
      <w:r>
        <w:rPr>
          <w:rFonts w:hint="eastAsia"/>
          <w:color w:val="000000"/>
          <w:sz w:val="24"/>
          <w:szCs w:val="24"/>
        </w:rPr>
        <w:t>投标文件接收截止时间：2022年</w:t>
      </w:r>
      <w:r>
        <w:rPr>
          <w:rFonts w:hint="eastAsia"/>
          <w:color w:val="000000"/>
          <w:sz w:val="24"/>
          <w:szCs w:val="24"/>
          <w:lang w:val="en-US" w:eastAsia="zh-CN"/>
        </w:rPr>
        <w:t>10</w:t>
      </w:r>
      <w:r>
        <w:rPr>
          <w:rFonts w:hint="eastAsia"/>
          <w:color w:val="000000"/>
          <w:sz w:val="24"/>
          <w:szCs w:val="24"/>
        </w:rPr>
        <w:t>月</w:t>
      </w:r>
      <w:r>
        <w:rPr>
          <w:rFonts w:hint="eastAsia"/>
          <w:color w:val="000000"/>
          <w:sz w:val="24"/>
          <w:szCs w:val="24"/>
          <w:lang w:val="en-US" w:eastAsia="zh-CN"/>
        </w:rPr>
        <w:t>21</w:t>
      </w:r>
      <w:r>
        <w:rPr>
          <w:rFonts w:hint="eastAsia"/>
          <w:color w:val="000000"/>
          <w:sz w:val="24"/>
          <w:szCs w:val="24"/>
        </w:rPr>
        <w:t>日15:00时</w:t>
      </w:r>
    </w:p>
    <w:p>
      <w:pPr>
        <w:tabs>
          <w:tab w:val="left" w:pos="900"/>
        </w:tabs>
        <w:spacing w:line="440" w:lineRule="exact"/>
        <w:ind w:firstLine="480" w:firstLineChars="200"/>
        <w:rPr>
          <w:color w:val="000000"/>
          <w:sz w:val="24"/>
          <w:szCs w:val="24"/>
        </w:rPr>
      </w:pPr>
      <w:r>
        <w:rPr>
          <w:rFonts w:hint="eastAsia"/>
          <w:color w:val="000000"/>
          <w:sz w:val="24"/>
          <w:szCs w:val="24"/>
        </w:rPr>
        <w:t>投标文件接收地点：盐城幼儿师范高等专科学校学海路校区(盐城市学海路28号)财务处招标办公室。</w:t>
      </w:r>
    </w:p>
    <w:p>
      <w:pPr>
        <w:widowControl/>
        <w:shd w:val="clear" w:color="auto" w:fill="FFFFFF"/>
        <w:spacing w:line="440" w:lineRule="exact"/>
        <w:ind w:firstLine="482" w:firstLineChars="200"/>
        <w:rPr>
          <w:b/>
          <w:color w:val="000000"/>
          <w:sz w:val="24"/>
          <w:szCs w:val="24"/>
        </w:rPr>
      </w:pPr>
      <w:bookmarkStart w:id="7" w:name="_Toc108021869"/>
      <w:r>
        <w:rPr>
          <w:rFonts w:hint="eastAsia"/>
          <w:b/>
          <w:color w:val="000000"/>
          <w:sz w:val="24"/>
          <w:szCs w:val="24"/>
        </w:rPr>
        <w:t>五、开标有关信息</w:t>
      </w:r>
    </w:p>
    <w:p>
      <w:pPr>
        <w:spacing w:line="440" w:lineRule="exact"/>
        <w:ind w:firstLine="480" w:firstLineChars="200"/>
        <w:rPr>
          <w:color w:val="000000"/>
          <w:kern w:val="0"/>
          <w:sz w:val="24"/>
          <w:szCs w:val="24"/>
        </w:rPr>
      </w:pPr>
      <w:r>
        <w:rPr>
          <w:rFonts w:hint="eastAsia"/>
          <w:color w:val="000000"/>
          <w:kern w:val="0"/>
          <w:sz w:val="24"/>
          <w:szCs w:val="24"/>
        </w:rPr>
        <w:t>开标时间：</w:t>
      </w:r>
      <w:r>
        <w:rPr>
          <w:rFonts w:hint="eastAsia"/>
          <w:color w:val="000000"/>
          <w:sz w:val="24"/>
          <w:szCs w:val="24"/>
        </w:rPr>
        <w:t>2022年</w:t>
      </w:r>
      <w:r>
        <w:rPr>
          <w:rFonts w:hint="eastAsia"/>
          <w:color w:val="000000"/>
          <w:sz w:val="24"/>
          <w:szCs w:val="24"/>
          <w:lang w:val="en-US" w:eastAsia="zh-CN"/>
        </w:rPr>
        <w:t>10</w:t>
      </w:r>
      <w:r>
        <w:rPr>
          <w:rFonts w:hint="eastAsia"/>
          <w:color w:val="000000"/>
          <w:sz w:val="24"/>
          <w:szCs w:val="24"/>
        </w:rPr>
        <w:t>月</w:t>
      </w:r>
      <w:r>
        <w:rPr>
          <w:rFonts w:hint="eastAsia"/>
          <w:color w:val="000000"/>
          <w:sz w:val="24"/>
          <w:szCs w:val="24"/>
          <w:lang w:val="en-US" w:eastAsia="zh-CN"/>
        </w:rPr>
        <w:t>21</w:t>
      </w:r>
      <w:r>
        <w:rPr>
          <w:rFonts w:hint="eastAsia"/>
          <w:color w:val="000000"/>
          <w:sz w:val="24"/>
          <w:szCs w:val="24"/>
        </w:rPr>
        <w:t>日</w:t>
      </w:r>
      <w:r>
        <w:rPr>
          <w:rFonts w:hint="eastAsia"/>
          <w:color w:val="000000"/>
          <w:kern w:val="0"/>
          <w:sz w:val="24"/>
          <w:szCs w:val="24"/>
        </w:rPr>
        <w:t>15:00时</w:t>
      </w:r>
    </w:p>
    <w:p>
      <w:pPr>
        <w:pStyle w:val="4"/>
        <w:keepNext w:val="0"/>
        <w:keepLines w:val="0"/>
        <w:spacing w:before="0" w:after="0" w:line="440" w:lineRule="exact"/>
        <w:ind w:firstLine="480" w:firstLineChars="200"/>
        <w:jc w:val="both"/>
        <w:rPr>
          <w:rFonts w:ascii="Times New Roman" w:hAnsi="Times New Roman" w:eastAsia="宋体" w:cs="Times New Roman"/>
          <w:b w:val="0"/>
          <w:bCs w:val="0"/>
          <w:color w:val="000000"/>
          <w:sz w:val="24"/>
          <w:szCs w:val="24"/>
        </w:rPr>
      </w:pPr>
      <w:r>
        <w:rPr>
          <w:rFonts w:hint="eastAsia" w:ascii="Times New Roman" w:hAnsi="Times New Roman" w:eastAsia="宋体" w:cs="Times New Roman"/>
          <w:b w:val="0"/>
          <w:bCs w:val="0"/>
          <w:color w:val="000000"/>
          <w:sz w:val="24"/>
          <w:szCs w:val="24"/>
        </w:rPr>
        <w:t>开标地点：盐城幼儿师范高等专科学校学海路校区(盐城市学海路28号)财务处招标办公室。</w:t>
      </w:r>
    </w:p>
    <w:p>
      <w:pPr>
        <w:pStyle w:val="4"/>
        <w:keepNext w:val="0"/>
        <w:keepLines w:val="0"/>
        <w:spacing w:before="0" w:after="0" w:line="440" w:lineRule="exact"/>
        <w:ind w:firstLine="482" w:firstLineChars="200"/>
        <w:jc w:val="both"/>
        <w:rPr>
          <w:rFonts w:ascii="Times New Roman" w:hAnsi="Times New Roman" w:eastAsia="宋体" w:cs="Times New Roman"/>
          <w:bCs w:val="0"/>
          <w:color w:val="000000"/>
          <w:sz w:val="24"/>
          <w:szCs w:val="24"/>
        </w:rPr>
      </w:pPr>
      <w:r>
        <w:rPr>
          <w:rFonts w:ascii="Times New Roman" w:hAnsi="Times New Roman" w:eastAsia="宋体" w:cs="Times New Roman"/>
          <w:bCs w:val="0"/>
          <w:color w:val="000000"/>
          <w:sz w:val="24"/>
          <w:szCs w:val="24"/>
        </w:rPr>
        <w:t>六、公告期限</w:t>
      </w:r>
      <w:bookmarkEnd w:id="7"/>
    </w:p>
    <w:p>
      <w:pPr>
        <w:spacing w:line="440" w:lineRule="exact"/>
        <w:ind w:firstLine="480" w:firstLineChars="200"/>
        <w:rPr>
          <w:color w:val="000000" w:themeColor="text1"/>
          <w:sz w:val="24"/>
          <w:szCs w:val="24"/>
        </w:rPr>
      </w:pPr>
      <w:r>
        <w:rPr>
          <w:color w:val="000000" w:themeColor="text1"/>
          <w:sz w:val="24"/>
          <w:szCs w:val="24"/>
        </w:rPr>
        <w:t>自本公告发布之日起</w:t>
      </w:r>
      <w:r>
        <w:rPr>
          <w:rFonts w:hint="eastAsia"/>
          <w:color w:val="000000" w:themeColor="text1"/>
          <w:sz w:val="24"/>
          <w:szCs w:val="24"/>
        </w:rPr>
        <w:t>5</w:t>
      </w:r>
      <w:r>
        <w:rPr>
          <w:color w:val="000000" w:themeColor="text1"/>
          <w:sz w:val="24"/>
          <w:szCs w:val="24"/>
        </w:rPr>
        <w:t>个工作日。</w:t>
      </w:r>
    </w:p>
    <w:p>
      <w:pPr>
        <w:widowControl/>
        <w:shd w:val="clear" w:color="auto" w:fill="FFFFFF"/>
        <w:spacing w:line="440" w:lineRule="exact"/>
        <w:ind w:firstLine="480" w:firstLineChars="200"/>
        <w:rPr>
          <w:b/>
          <w:color w:val="000000"/>
          <w:sz w:val="24"/>
          <w:szCs w:val="24"/>
        </w:rPr>
      </w:pPr>
      <w:bookmarkStart w:id="8" w:name="_Toc108021870"/>
      <w:r>
        <w:rPr>
          <w:rFonts w:hint="eastAsia"/>
          <w:color w:val="000000" w:themeColor="text1"/>
          <w:sz w:val="24"/>
          <w:szCs w:val="24"/>
          <w:shd w:val="clear" w:color="auto" w:fill="FFFFFF"/>
        </w:rPr>
        <w:t>七</w:t>
      </w:r>
      <w:r>
        <w:rPr>
          <w:color w:val="000000" w:themeColor="text1"/>
          <w:sz w:val="24"/>
          <w:szCs w:val="24"/>
          <w:shd w:val="clear" w:color="auto" w:fill="FFFFFF"/>
        </w:rPr>
        <w:t>、</w:t>
      </w:r>
      <w:bookmarkEnd w:id="8"/>
      <w:r>
        <w:rPr>
          <w:rFonts w:hint="eastAsia"/>
          <w:b/>
          <w:color w:val="000000"/>
          <w:sz w:val="24"/>
          <w:szCs w:val="24"/>
        </w:rPr>
        <w:t>投标文件制作份数要求</w:t>
      </w:r>
    </w:p>
    <w:p>
      <w:pPr>
        <w:spacing w:line="440" w:lineRule="exact"/>
        <w:ind w:firstLine="480" w:firstLineChars="200"/>
        <w:rPr>
          <w:color w:val="000000" w:themeColor="text1"/>
          <w:sz w:val="24"/>
          <w:szCs w:val="24"/>
        </w:rPr>
      </w:pPr>
      <w:r>
        <w:rPr>
          <w:rFonts w:hint="eastAsia"/>
          <w:color w:val="000000" w:themeColor="text1"/>
          <w:sz w:val="24"/>
          <w:szCs w:val="24"/>
        </w:rPr>
        <w:t>投标</w:t>
      </w:r>
      <w:r>
        <w:rPr>
          <w:color w:val="000000" w:themeColor="text1"/>
          <w:sz w:val="24"/>
          <w:szCs w:val="24"/>
        </w:rPr>
        <w:t>文件正本1份，</w:t>
      </w:r>
      <w:r>
        <w:rPr>
          <w:rFonts w:hint="eastAsia"/>
          <w:color w:val="000000" w:themeColor="text1"/>
          <w:sz w:val="24"/>
          <w:szCs w:val="24"/>
        </w:rPr>
        <w:t>副本份数：4份</w:t>
      </w:r>
      <w:r>
        <w:rPr>
          <w:color w:val="000000" w:themeColor="text1"/>
          <w:sz w:val="24"/>
          <w:szCs w:val="24"/>
        </w:rPr>
        <w:t>。</w:t>
      </w:r>
    </w:p>
    <w:p>
      <w:pPr>
        <w:pStyle w:val="4"/>
        <w:keepNext w:val="0"/>
        <w:keepLines w:val="0"/>
        <w:spacing w:before="0" w:after="0" w:line="440" w:lineRule="exact"/>
        <w:ind w:firstLine="482" w:firstLineChars="200"/>
        <w:jc w:val="both"/>
        <w:rPr>
          <w:rFonts w:ascii="Times New Roman" w:hAnsi="Times New Roman" w:eastAsia="宋体" w:cs="Times New Roman"/>
          <w:color w:val="000000" w:themeColor="text1"/>
          <w:sz w:val="24"/>
          <w:szCs w:val="24"/>
          <w:shd w:val="clear" w:color="auto" w:fill="FFFFFF"/>
        </w:rPr>
      </w:pPr>
      <w:bookmarkStart w:id="9" w:name="_Toc108021871"/>
      <w:r>
        <w:rPr>
          <w:rFonts w:hint="eastAsia" w:ascii="Times New Roman" w:hAnsi="Times New Roman" w:eastAsia="宋体" w:cs="Times New Roman"/>
          <w:color w:val="000000" w:themeColor="text1"/>
          <w:sz w:val="24"/>
          <w:szCs w:val="24"/>
          <w:shd w:val="clear" w:color="auto" w:fill="FFFFFF"/>
        </w:rPr>
        <w:t>八</w:t>
      </w:r>
      <w:r>
        <w:rPr>
          <w:rFonts w:ascii="Times New Roman" w:hAnsi="Times New Roman" w:eastAsia="宋体" w:cs="Times New Roman"/>
          <w:color w:val="000000" w:themeColor="text1"/>
          <w:sz w:val="24"/>
          <w:szCs w:val="24"/>
          <w:shd w:val="clear" w:color="auto" w:fill="FFFFFF"/>
        </w:rPr>
        <w:t>、凡对本次采购提出询问，请按以下方式联系。</w:t>
      </w:r>
      <w:bookmarkEnd w:id="9"/>
    </w:p>
    <w:p>
      <w:pPr>
        <w:spacing w:line="440" w:lineRule="exact"/>
        <w:ind w:firstLine="480" w:firstLineChars="200"/>
        <w:rPr>
          <w:color w:val="000000" w:themeColor="text1"/>
          <w:sz w:val="24"/>
          <w:szCs w:val="24"/>
        </w:rPr>
      </w:pPr>
      <w:bookmarkStart w:id="10" w:name="_Toc35393806"/>
      <w:bookmarkStart w:id="11" w:name="_Toc28359019"/>
      <w:bookmarkStart w:id="12" w:name="_Toc28359096"/>
      <w:bookmarkStart w:id="13" w:name="_Toc35393637"/>
      <w:r>
        <w:rPr>
          <w:color w:val="000000" w:themeColor="text1"/>
          <w:sz w:val="24"/>
          <w:szCs w:val="24"/>
        </w:rPr>
        <w:t>1</w:t>
      </w:r>
      <w:r>
        <w:rPr>
          <w:rFonts w:hint="eastAsia"/>
          <w:color w:val="000000" w:themeColor="text1"/>
          <w:sz w:val="24"/>
          <w:szCs w:val="24"/>
        </w:rPr>
        <w:t xml:space="preserve">. </w:t>
      </w:r>
      <w:r>
        <w:rPr>
          <w:color w:val="000000" w:themeColor="text1"/>
          <w:sz w:val="24"/>
          <w:szCs w:val="24"/>
        </w:rPr>
        <w:t>使用部门联系人：</w:t>
      </w:r>
      <w:r>
        <w:rPr>
          <w:rFonts w:hint="eastAsia"/>
          <w:color w:val="000000" w:themeColor="text1"/>
          <w:sz w:val="24"/>
          <w:szCs w:val="24"/>
        </w:rPr>
        <w:t>于老师</w:t>
      </w:r>
      <w:r>
        <w:rPr>
          <w:color w:val="000000" w:themeColor="text1"/>
          <w:sz w:val="24"/>
          <w:szCs w:val="24"/>
        </w:rPr>
        <w:t>，</w:t>
      </w:r>
      <w:r>
        <w:rPr>
          <w:rFonts w:hint="eastAsia"/>
          <w:color w:val="000000" w:themeColor="text1"/>
          <w:sz w:val="24"/>
          <w:szCs w:val="24"/>
        </w:rPr>
        <w:t xml:space="preserve"> </w:t>
      </w:r>
      <w:r>
        <w:rPr>
          <w:color w:val="000000" w:themeColor="text1"/>
          <w:sz w:val="24"/>
          <w:szCs w:val="24"/>
        </w:rPr>
        <w:t>联系电话：</w:t>
      </w:r>
      <w:r>
        <w:rPr>
          <w:rFonts w:hint="eastAsia"/>
          <w:color w:val="000000" w:themeColor="text1"/>
          <w:sz w:val="24"/>
          <w:szCs w:val="24"/>
        </w:rPr>
        <w:t xml:space="preserve">13921848566  </w:t>
      </w:r>
      <w:r>
        <w:rPr>
          <w:color w:val="000000" w:themeColor="text1"/>
          <w:sz w:val="24"/>
          <w:szCs w:val="24"/>
        </w:rPr>
        <w:t>。</w:t>
      </w:r>
    </w:p>
    <w:p>
      <w:pPr>
        <w:spacing w:line="440" w:lineRule="exact"/>
        <w:ind w:firstLine="480" w:firstLineChars="200"/>
        <w:rPr>
          <w:color w:val="000000" w:themeColor="text1"/>
          <w:sz w:val="24"/>
          <w:szCs w:val="24"/>
        </w:rPr>
      </w:pPr>
      <w:r>
        <w:rPr>
          <w:color w:val="000000" w:themeColor="text1"/>
          <w:sz w:val="24"/>
          <w:szCs w:val="24"/>
        </w:rPr>
        <w:t>采购部门联系人：蒋老师  ，联系电话：0515-89966103。</w:t>
      </w:r>
    </w:p>
    <w:p>
      <w:pPr>
        <w:spacing w:line="440" w:lineRule="exact"/>
        <w:ind w:firstLine="480" w:firstLineChars="200"/>
        <w:rPr>
          <w:color w:val="000000" w:themeColor="text1"/>
          <w:sz w:val="24"/>
          <w:szCs w:val="24"/>
        </w:rPr>
      </w:pPr>
      <w:r>
        <w:rPr>
          <w:color w:val="000000" w:themeColor="text1"/>
          <w:sz w:val="24"/>
          <w:szCs w:val="24"/>
        </w:rPr>
        <w:t>采购人地址：盐城市高职园区学海路28号，邮政编码：224005</w:t>
      </w:r>
    </w:p>
    <w:p>
      <w:pPr>
        <w:spacing w:line="440" w:lineRule="exact"/>
        <w:ind w:firstLine="480" w:firstLineChars="200"/>
        <w:rPr>
          <w:color w:val="000000"/>
          <w:sz w:val="24"/>
          <w:szCs w:val="24"/>
        </w:rPr>
      </w:pPr>
      <w:r>
        <w:rPr>
          <w:rFonts w:hint="eastAsia"/>
          <w:color w:val="000000"/>
          <w:sz w:val="24"/>
          <w:szCs w:val="24"/>
        </w:rPr>
        <w:t>（二）招标代理服务机构：江苏宏天工程管理有限公司。</w:t>
      </w:r>
    </w:p>
    <w:p>
      <w:pPr>
        <w:spacing w:line="440" w:lineRule="exact"/>
        <w:ind w:firstLine="480" w:firstLineChars="200"/>
        <w:rPr>
          <w:color w:val="000000"/>
          <w:sz w:val="24"/>
          <w:szCs w:val="24"/>
        </w:rPr>
      </w:pPr>
      <w:r>
        <w:rPr>
          <w:rFonts w:hint="eastAsia"/>
          <w:color w:val="000000"/>
          <w:sz w:val="24"/>
          <w:szCs w:val="24"/>
        </w:rPr>
        <w:t>联系人：蔡海云，联系电话：180051083</w:t>
      </w:r>
      <w:r>
        <w:rPr>
          <w:color w:val="000000"/>
          <w:sz w:val="24"/>
          <w:szCs w:val="24"/>
        </w:rPr>
        <w:t>80</w:t>
      </w:r>
      <w:r>
        <w:rPr>
          <w:rFonts w:hint="eastAsia"/>
          <w:color w:val="000000"/>
          <w:sz w:val="24"/>
          <w:szCs w:val="24"/>
        </w:rPr>
        <w:t>。</w:t>
      </w:r>
    </w:p>
    <w:p>
      <w:pPr>
        <w:spacing w:line="440" w:lineRule="exact"/>
        <w:ind w:firstLine="480" w:firstLineChars="200"/>
        <w:rPr>
          <w:color w:val="000000" w:themeColor="text1"/>
          <w:sz w:val="24"/>
          <w:szCs w:val="24"/>
        </w:rPr>
      </w:pPr>
      <w:r>
        <w:rPr>
          <w:rFonts w:hint="eastAsia"/>
          <w:color w:val="000000" w:themeColor="text1"/>
          <w:sz w:val="24"/>
          <w:szCs w:val="24"/>
        </w:rPr>
        <w:t xml:space="preserve">3. </w:t>
      </w:r>
      <w:r>
        <w:rPr>
          <w:color w:val="000000" w:themeColor="text1"/>
          <w:sz w:val="24"/>
          <w:szCs w:val="24"/>
        </w:rPr>
        <w:t>对项目需求部分的询问、质疑请与采购人联系、答复；其他部分的询问、质疑请与采购技术服务单位联系、答复。</w:t>
      </w:r>
    </w:p>
    <w:p>
      <w:pPr>
        <w:widowControl/>
        <w:shd w:val="clear" w:color="auto" w:fill="FFFFFF"/>
        <w:spacing w:line="440" w:lineRule="exact"/>
        <w:ind w:firstLine="482" w:firstLineChars="200"/>
        <w:rPr>
          <w:b/>
          <w:color w:val="000000"/>
          <w:sz w:val="24"/>
          <w:szCs w:val="24"/>
        </w:rPr>
      </w:pPr>
      <w:r>
        <w:rPr>
          <w:rFonts w:hint="eastAsia"/>
          <w:b/>
          <w:color w:val="000000"/>
          <w:sz w:val="24"/>
          <w:szCs w:val="24"/>
        </w:rPr>
        <w:t>八、其他补充事宜</w:t>
      </w:r>
    </w:p>
    <w:p>
      <w:pPr>
        <w:spacing w:line="440" w:lineRule="exact"/>
        <w:ind w:firstLine="420" w:firstLineChars="200"/>
        <w:rPr>
          <w:color w:val="FF0000"/>
          <w:sz w:val="24"/>
        </w:rPr>
      </w:pPr>
      <w:r>
        <w:rPr>
          <w:rFonts w:hint="eastAsia"/>
          <w:color w:val="FF0000"/>
        </w:rPr>
        <w:t>1、</w:t>
      </w:r>
      <w:r>
        <w:rPr>
          <w:color w:val="FF0000"/>
          <w:sz w:val="24"/>
        </w:rPr>
        <w:t>投标人开标现场需提供100本样书(从待选图书清单中任意选择)</w:t>
      </w:r>
      <w:r>
        <w:rPr>
          <w:rFonts w:hint="eastAsia"/>
          <w:color w:val="FF0000"/>
          <w:sz w:val="24"/>
        </w:rPr>
        <w:t>，</w:t>
      </w:r>
      <w:r>
        <w:rPr>
          <w:color w:val="FF0000"/>
          <w:sz w:val="24"/>
        </w:rPr>
        <w:t>主要考察投标人采购图书的能力及到书准时性，样书质量要装订平整、牢固，图案、文字清晰有层次，色调饱和，纸张表面光滑且颜色和厚度一致，不提供作无效投标处理。非中标候选人的样书在评标结束后退还</w:t>
      </w:r>
      <w:r>
        <w:rPr>
          <w:rFonts w:hint="eastAsia"/>
          <w:color w:val="FF0000"/>
          <w:sz w:val="24"/>
        </w:rPr>
        <w:t>，</w:t>
      </w:r>
      <w:r>
        <w:rPr>
          <w:color w:val="FF0000"/>
          <w:sz w:val="24"/>
        </w:rPr>
        <w:t>中标候选人的样书由采购人进行保管、封存，并作为履约验收的参考。</w:t>
      </w:r>
    </w:p>
    <w:p>
      <w:pPr>
        <w:spacing w:line="440" w:lineRule="exact"/>
        <w:ind w:firstLine="480" w:firstLineChars="200"/>
        <w:rPr>
          <w:rStyle w:val="49"/>
          <w:bCs/>
          <w:color w:val="000000"/>
          <w:sz w:val="24"/>
          <w:szCs w:val="24"/>
        </w:rPr>
      </w:pPr>
      <w:r>
        <w:rPr>
          <w:rStyle w:val="49"/>
          <w:rFonts w:hint="eastAsia"/>
          <w:bCs/>
          <w:color w:val="000000"/>
          <w:sz w:val="24"/>
          <w:szCs w:val="24"/>
        </w:rPr>
        <w:t>2.疫情防控</w:t>
      </w:r>
    </w:p>
    <w:p>
      <w:pPr>
        <w:spacing w:line="440" w:lineRule="exact"/>
        <w:ind w:firstLine="480" w:firstLineChars="200"/>
        <w:rPr>
          <w:color w:val="000000"/>
          <w:sz w:val="24"/>
          <w:szCs w:val="24"/>
        </w:rPr>
      </w:pPr>
      <w:r>
        <w:rPr>
          <w:rFonts w:hint="eastAsia"/>
          <w:color w:val="000000"/>
          <w:sz w:val="24"/>
          <w:szCs w:val="24"/>
        </w:rPr>
        <w:t>因疫情防控需要，为确保校园安全，投标人进入盐城幼儿师范高等专科学校校区时应服从下列疫情防控措施：</w:t>
      </w:r>
    </w:p>
    <w:p>
      <w:pPr>
        <w:spacing w:line="440" w:lineRule="exact"/>
        <w:ind w:firstLine="480" w:firstLineChars="200"/>
        <w:rPr>
          <w:color w:val="000000"/>
          <w:sz w:val="24"/>
          <w:szCs w:val="24"/>
        </w:rPr>
      </w:pPr>
      <w:r>
        <w:rPr>
          <w:rFonts w:hint="eastAsia"/>
          <w:color w:val="000000"/>
          <w:sz w:val="24"/>
          <w:szCs w:val="24"/>
        </w:rPr>
        <w:t>（1）投标人从蓝海路北门进出；投标人车辆一律不得进入校园。</w:t>
      </w:r>
    </w:p>
    <w:p>
      <w:pPr>
        <w:spacing w:line="440" w:lineRule="exact"/>
        <w:ind w:firstLine="480" w:firstLineChars="200"/>
        <w:rPr>
          <w:color w:val="000000"/>
          <w:sz w:val="24"/>
          <w:szCs w:val="24"/>
        </w:rPr>
      </w:pPr>
      <w:r>
        <w:rPr>
          <w:rFonts w:hint="eastAsia"/>
          <w:color w:val="000000"/>
          <w:sz w:val="24"/>
          <w:szCs w:val="24"/>
        </w:rPr>
        <w:t>（2）各投标人报名或投标时项目授权代表限1-2人进入校园；项目授权代表进入校园时须自行配戴口罩、做好手部消毒及投标文件等消毒防护工作。</w:t>
      </w:r>
    </w:p>
    <w:p>
      <w:pPr>
        <w:spacing w:line="440" w:lineRule="exact"/>
        <w:ind w:firstLine="480" w:firstLineChars="200"/>
        <w:rPr>
          <w:rFonts w:hint="eastAsia"/>
          <w:color w:val="000000"/>
          <w:sz w:val="24"/>
          <w:szCs w:val="24"/>
        </w:rPr>
      </w:pPr>
      <w:r>
        <w:rPr>
          <w:rFonts w:hint="eastAsia"/>
          <w:color w:val="000000"/>
          <w:sz w:val="24"/>
          <w:szCs w:val="24"/>
        </w:rPr>
        <w:t>（3）投标人进入校园前须在门卫处进行信息实名登记并接受体温测量（体温异常者拒绝进入校园），主动出示有效“健康码”（非绿色健康码拒绝进入校园），出示本人近14天的出行轨迹；来校前14天内有疫情中高风险疫区（以进校前一日权威发布的疫情风险等级区域划分为依据）旅居史的人员一律不得进入校园。</w:t>
      </w:r>
    </w:p>
    <w:p>
      <w:pPr>
        <w:spacing w:line="440" w:lineRule="exact"/>
        <w:ind w:firstLine="480" w:firstLineChars="200"/>
        <w:rPr>
          <w:rFonts w:hint="eastAsia"/>
          <w:color w:val="000000"/>
          <w:sz w:val="24"/>
          <w:szCs w:val="24"/>
        </w:rPr>
      </w:pPr>
      <w:r>
        <w:rPr>
          <w:rFonts w:hint="eastAsia"/>
          <w:color w:val="000000"/>
          <w:sz w:val="24"/>
          <w:szCs w:val="24"/>
        </w:rPr>
        <w:t>（4）盐城本地人未出市的投标人员需提供3天内有效的核酸检测证明。</w:t>
      </w:r>
    </w:p>
    <w:p>
      <w:pPr>
        <w:spacing w:line="440" w:lineRule="exact"/>
        <w:ind w:firstLine="480" w:firstLineChars="200"/>
        <w:rPr>
          <w:rFonts w:hint="eastAsia"/>
          <w:color w:val="000000"/>
          <w:sz w:val="24"/>
          <w:szCs w:val="24"/>
        </w:rPr>
      </w:pPr>
      <w:r>
        <w:rPr>
          <w:rFonts w:hint="eastAsia"/>
          <w:color w:val="000000"/>
          <w:sz w:val="24"/>
          <w:szCs w:val="24"/>
        </w:rPr>
        <w:t>（5）近14天内有盐城市外旅居史的投标人员或非盐城本地投标人员需提供48小时内有效的核酸检测证明，未提供者不得进入校园，并请提前了解各高速口防疫要求，如未能下高速影响本次投标与校方无关。</w:t>
      </w:r>
    </w:p>
    <w:p>
      <w:pPr>
        <w:spacing w:line="440" w:lineRule="exact"/>
        <w:ind w:firstLine="480" w:firstLineChars="200"/>
        <w:rPr>
          <w:rFonts w:hint="eastAsia"/>
          <w:color w:val="000000"/>
          <w:sz w:val="24"/>
          <w:szCs w:val="24"/>
        </w:rPr>
      </w:pPr>
      <w:r>
        <w:rPr>
          <w:rFonts w:hint="eastAsia"/>
          <w:color w:val="000000"/>
          <w:sz w:val="24"/>
          <w:szCs w:val="24"/>
        </w:rPr>
        <w:t>（</w:t>
      </w:r>
      <w:r>
        <w:rPr>
          <w:rFonts w:hint="eastAsia"/>
          <w:color w:val="000000"/>
          <w:sz w:val="24"/>
          <w:szCs w:val="24"/>
          <w:lang w:val="en-US" w:eastAsia="zh-CN"/>
        </w:rPr>
        <w:t>6</w:t>
      </w:r>
      <w:r>
        <w:rPr>
          <w:rFonts w:hint="eastAsia"/>
          <w:color w:val="000000"/>
          <w:sz w:val="24"/>
          <w:szCs w:val="24"/>
        </w:rPr>
        <w:t>）投标人员应提前了解各高速口防疫要求，如未能下高速影响本次投标与校方无关。</w:t>
      </w:r>
    </w:p>
    <w:p>
      <w:pPr>
        <w:spacing w:line="440" w:lineRule="exact"/>
        <w:ind w:firstLine="480" w:firstLineChars="200"/>
        <w:rPr>
          <w:rFonts w:hint="eastAsia"/>
          <w:color w:val="000000"/>
          <w:sz w:val="24"/>
          <w:szCs w:val="24"/>
        </w:rPr>
      </w:pPr>
      <w:r>
        <w:rPr>
          <w:rFonts w:hint="eastAsia"/>
          <w:color w:val="000000"/>
          <w:sz w:val="24"/>
          <w:szCs w:val="24"/>
        </w:rPr>
        <w:t>（</w:t>
      </w:r>
      <w:r>
        <w:rPr>
          <w:rFonts w:hint="eastAsia"/>
          <w:color w:val="000000"/>
          <w:sz w:val="24"/>
          <w:szCs w:val="24"/>
          <w:lang w:val="en-US" w:eastAsia="zh-CN"/>
        </w:rPr>
        <w:t>7</w:t>
      </w:r>
      <w:r>
        <w:rPr>
          <w:rFonts w:hint="eastAsia"/>
          <w:color w:val="000000"/>
          <w:sz w:val="24"/>
          <w:szCs w:val="24"/>
        </w:rPr>
        <w:t>）投标人还应遵守盐城及盐南高新区的其它实时疫情防控政策。</w:t>
      </w:r>
    </w:p>
    <w:p>
      <w:pPr>
        <w:spacing w:line="440" w:lineRule="exact"/>
        <w:ind w:firstLine="480" w:firstLineChars="200"/>
        <w:rPr>
          <w:color w:val="000000"/>
          <w:sz w:val="24"/>
          <w:szCs w:val="24"/>
        </w:rPr>
      </w:pPr>
      <w:r>
        <w:rPr>
          <w:rFonts w:hint="eastAsia"/>
          <w:color w:val="000000"/>
          <w:sz w:val="24"/>
          <w:szCs w:val="24"/>
        </w:rPr>
        <w:t>（</w:t>
      </w:r>
      <w:r>
        <w:rPr>
          <w:rFonts w:hint="eastAsia"/>
          <w:color w:val="000000"/>
          <w:sz w:val="24"/>
          <w:szCs w:val="24"/>
          <w:lang w:val="en-US" w:eastAsia="zh-CN"/>
        </w:rPr>
        <w:t>8</w:t>
      </w:r>
      <w:r>
        <w:rPr>
          <w:rFonts w:hint="eastAsia"/>
          <w:color w:val="000000"/>
          <w:sz w:val="24"/>
          <w:szCs w:val="24"/>
        </w:rPr>
        <w:t>）请各投标人预留好相应时间，配合做好上述管控措施。</w:t>
      </w:r>
    </w:p>
    <w:p>
      <w:pPr>
        <w:snapToGrid w:val="0"/>
        <w:spacing w:line="440" w:lineRule="exact"/>
        <w:ind w:firstLine="4003" w:firstLineChars="1668"/>
        <w:jc w:val="center"/>
        <w:rPr>
          <w:color w:val="000000"/>
          <w:sz w:val="24"/>
          <w:szCs w:val="24"/>
        </w:rPr>
      </w:pPr>
    </w:p>
    <w:p>
      <w:pPr>
        <w:snapToGrid w:val="0"/>
        <w:spacing w:line="440" w:lineRule="exact"/>
        <w:ind w:firstLine="4003" w:firstLineChars="1668"/>
        <w:jc w:val="center"/>
        <w:rPr>
          <w:color w:val="000000"/>
          <w:sz w:val="24"/>
          <w:szCs w:val="24"/>
        </w:rPr>
      </w:pPr>
      <w:r>
        <w:rPr>
          <w:rFonts w:hint="eastAsia"/>
          <w:color w:val="000000"/>
          <w:sz w:val="24"/>
          <w:szCs w:val="24"/>
        </w:rPr>
        <w:t>盐城幼儿师范高等专科学校</w:t>
      </w:r>
    </w:p>
    <w:p>
      <w:pPr>
        <w:spacing w:line="440" w:lineRule="exact"/>
        <w:ind w:firstLine="4003" w:firstLineChars="1668"/>
        <w:jc w:val="center"/>
        <w:rPr>
          <w:color w:val="000000"/>
          <w:sz w:val="24"/>
          <w:szCs w:val="24"/>
        </w:rPr>
      </w:pPr>
      <w:r>
        <w:rPr>
          <w:rFonts w:hint="eastAsia"/>
          <w:color w:val="000000"/>
          <w:sz w:val="24"/>
          <w:szCs w:val="24"/>
        </w:rPr>
        <w:t>2022</w:t>
      </w:r>
      <w:r>
        <w:rPr>
          <w:color w:val="000000"/>
          <w:sz w:val="24"/>
          <w:szCs w:val="24"/>
        </w:rPr>
        <w:t>年</w:t>
      </w:r>
      <w:r>
        <w:rPr>
          <w:rFonts w:hint="eastAsia"/>
          <w:color w:val="000000"/>
          <w:sz w:val="24"/>
          <w:szCs w:val="24"/>
        </w:rPr>
        <w:t>9</w:t>
      </w:r>
      <w:r>
        <w:rPr>
          <w:color w:val="000000"/>
          <w:sz w:val="24"/>
          <w:szCs w:val="24"/>
        </w:rPr>
        <w:t>月</w:t>
      </w:r>
      <w:r>
        <w:rPr>
          <w:rFonts w:hint="eastAsia"/>
          <w:color w:val="000000"/>
          <w:sz w:val="24"/>
          <w:szCs w:val="24"/>
          <w:lang w:val="en-US" w:eastAsia="zh-CN"/>
        </w:rPr>
        <w:t>30</w:t>
      </w:r>
      <w:r>
        <w:rPr>
          <w:color w:val="000000"/>
          <w:sz w:val="24"/>
          <w:szCs w:val="24"/>
        </w:rPr>
        <w:t>日</w:t>
      </w:r>
    </w:p>
    <w:p>
      <w:pPr>
        <w:pStyle w:val="25"/>
      </w:pPr>
    </w:p>
    <w:p>
      <w:pPr>
        <w:pStyle w:val="25"/>
      </w:pPr>
    </w:p>
    <w:p>
      <w:pPr>
        <w:pStyle w:val="25"/>
      </w:pPr>
    </w:p>
    <w:p>
      <w:pPr>
        <w:pStyle w:val="25"/>
      </w:pPr>
    </w:p>
    <w:p>
      <w:pPr>
        <w:pStyle w:val="25"/>
      </w:pPr>
    </w:p>
    <w:p>
      <w:pPr>
        <w:pStyle w:val="25"/>
      </w:pPr>
    </w:p>
    <w:p>
      <w:pPr>
        <w:pStyle w:val="25"/>
      </w:pPr>
    </w:p>
    <w:p>
      <w:pPr>
        <w:pStyle w:val="25"/>
      </w:pPr>
    </w:p>
    <w:p>
      <w:pPr>
        <w:pStyle w:val="25"/>
      </w:pPr>
    </w:p>
    <w:p>
      <w:pPr>
        <w:pStyle w:val="25"/>
      </w:pPr>
    </w:p>
    <w:p>
      <w:pPr>
        <w:pStyle w:val="25"/>
      </w:pPr>
    </w:p>
    <w:p>
      <w:pPr>
        <w:pStyle w:val="25"/>
      </w:pPr>
    </w:p>
    <w:p>
      <w:pPr>
        <w:pStyle w:val="25"/>
      </w:pPr>
    </w:p>
    <w:p>
      <w:pPr>
        <w:pStyle w:val="25"/>
      </w:pPr>
    </w:p>
    <w:p>
      <w:pPr>
        <w:pStyle w:val="25"/>
      </w:pPr>
    </w:p>
    <w:p>
      <w:pPr>
        <w:pStyle w:val="25"/>
      </w:pPr>
    </w:p>
    <w:p>
      <w:pPr>
        <w:pStyle w:val="25"/>
      </w:pPr>
    </w:p>
    <w:p>
      <w:pPr>
        <w:pStyle w:val="25"/>
      </w:pPr>
    </w:p>
    <w:p>
      <w:pPr>
        <w:pStyle w:val="25"/>
      </w:pPr>
    </w:p>
    <w:p>
      <w:pPr>
        <w:pStyle w:val="25"/>
      </w:pPr>
    </w:p>
    <w:p>
      <w:pPr>
        <w:pStyle w:val="25"/>
      </w:pPr>
    </w:p>
    <w:p>
      <w:pPr>
        <w:pStyle w:val="25"/>
      </w:pPr>
    </w:p>
    <w:p>
      <w:pPr>
        <w:pStyle w:val="25"/>
      </w:pPr>
    </w:p>
    <w:p>
      <w:pPr>
        <w:pStyle w:val="25"/>
      </w:pPr>
    </w:p>
    <w:p>
      <w:pPr>
        <w:pStyle w:val="25"/>
      </w:pPr>
    </w:p>
    <w:p>
      <w:pPr>
        <w:pStyle w:val="25"/>
      </w:pPr>
    </w:p>
    <w:p>
      <w:pPr>
        <w:pStyle w:val="25"/>
      </w:pPr>
    </w:p>
    <w:p>
      <w:pPr>
        <w:pStyle w:val="25"/>
      </w:pPr>
    </w:p>
    <w:p>
      <w:pPr>
        <w:pStyle w:val="25"/>
      </w:pPr>
    </w:p>
    <w:bookmarkEnd w:id="10"/>
    <w:bookmarkEnd w:id="11"/>
    <w:bookmarkEnd w:id="12"/>
    <w:bookmarkEnd w:id="13"/>
    <w:p>
      <w:pPr>
        <w:jc w:val="center"/>
        <w:outlineLvl w:val="0"/>
        <w:rPr>
          <w:rFonts w:eastAsia="黑体"/>
          <w:color w:val="000000" w:themeColor="text1"/>
          <w:sz w:val="40"/>
          <w:szCs w:val="40"/>
        </w:rPr>
      </w:pPr>
      <w:bookmarkStart w:id="14" w:name="_Toc108021872"/>
      <w:r>
        <w:rPr>
          <w:rFonts w:eastAsia="黑体"/>
          <w:color w:val="000000" w:themeColor="text1"/>
          <w:sz w:val="40"/>
          <w:szCs w:val="40"/>
        </w:rPr>
        <w:t>第二章  投标人须知</w:t>
      </w:r>
      <w:bookmarkEnd w:id="14"/>
    </w:p>
    <w:p>
      <w:pPr>
        <w:spacing w:line="440" w:lineRule="exact"/>
        <w:ind w:firstLine="482" w:firstLineChars="200"/>
        <w:rPr>
          <w:b/>
          <w:bCs/>
          <w:color w:val="000000" w:themeColor="text1"/>
          <w:sz w:val="24"/>
          <w:szCs w:val="24"/>
        </w:rPr>
      </w:pPr>
    </w:p>
    <w:p>
      <w:pPr>
        <w:pStyle w:val="4"/>
        <w:keepNext w:val="0"/>
        <w:keepLines w:val="0"/>
        <w:pageBreakBefore w:val="0"/>
        <w:kinsoku/>
        <w:wordWrap/>
        <w:overflowPunct/>
        <w:topLinePunct w:val="0"/>
        <w:bidi w:val="0"/>
        <w:spacing w:before="0" w:after="0" w:line="360" w:lineRule="auto"/>
        <w:ind w:firstLine="482" w:firstLineChars="200"/>
        <w:jc w:val="both"/>
        <w:rPr>
          <w:rFonts w:ascii="Times New Roman" w:hAnsi="Times New Roman" w:eastAsia="宋体" w:cs="Times New Roman"/>
          <w:color w:val="000000" w:themeColor="text1"/>
          <w:sz w:val="24"/>
          <w:szCs w:val="24"/>
          <w:shd w:val="clear" w:color="auto" w:fill="FFFFFF"/>
        </w:rPr>
      </w:pPr>
      <w:bookmarkStart w:id="15" w:name="_Toc108021873"/>
      <w:r>
        <w:rPr>
          <w:rFonts w:ascii="Times New Roman" w:hAnsi="Times New Roman" w:eastAsia="宋体" w:cs="Times New Roman"/>
          <w:color w:val="000000" w:themeColor="text1"/>
          <w:sz w:val="24"/>
          <w:szCs w:val="24"/>
          <w:shd w:val="clear" w:color="auto" w:fill="FFFFFF"/>
        </w:rPr>
        <w:t>一、总则</w:t>
      </w:r>
      <w:bookmarkEnd w:id="15"/>
    </w:p>
    <w:p>
      <w:pPr>
        <w:keepNext/>
        <w:keepLines/>
        <w:pageBreakBefore w:val="0"/>
        <w:kinsoku/>
        <w:wordWrap/>
        <w:overflowPunct/>
        <w:topLinePunct w:val="0"/>
        <w:bidi w:val="0"/>
        <w:spacing w:line="360" w:lineRule="auto"/>
        <w:ind w:firstLine="420" w:firstLineChars="150"/>
        <w:outlineLvl w:val="3"/>
        <w:rPr>
          <w:rFonts w:ascii="Arial" w:hAnsi="Arial" w:eastAsia="黑体" w:cs="Arial"/>
          <w:sz w:val="28"/>
          <w:szCs w:val="28"/>
        </w:rPr>
      </w:pPr>
      <w:r>
        <w:rPr>
          <w:rFonts w:hint="eastAsia" w:ascii="Arial" w:hAnsi="Arial" w:eastAsia="黑体" w:cs="Arial"/>
          <w:sz w:val="28"/>
          <w:szCs w:val="28"/>
        </w:rPr>
        <w:t>1、招标方式</w:t>
      </w:r>
    </w:p>
    <w:p>
      <w:pPr>
        <w:pageBreakBefore w:val="0"/>
        <w:kinsoku/>
        <w:wordWrap/>
        <w:overflowPunct/>
        <w:topLinePunct w:val="0"/>
        <w:bidi w:val="0"/>
        <w:spacing w:line="360" w:lineRule="auto"/>
        <w:ind w:firstLine="480" w:firstLineChars="200"/>
        <w:rPr>
          <w:color w:val="000000"/>
          <w:sz w:val="24"/>
          <w:szCs w:val="24"/>
        </w:rPr>
      </w:pPr>
      <w:r>
        <w:rPr>
          <w:rFonts w:hint="eastAsia"/>
          <w:color w:val="000000"/>
          <w:sz w:val="24"/>
          <w:szCs w:val="24"/>
        </w:rPr>
        <w:t>1.1 本次招标采取公开招标方式，本招标文件仅适用于招标公告中所述项目。</w:t>
      </w:r>
    </w:p>
    <w:p>
      <w:pPr>
        <w:keepNext/>
        <w:keepLines/>
        <w:pageBreakBefore w:val="0"/>
        <w:kinsoku/>
        <w:wordWrap/>
        <w:overflowPunct/>
        <w:topLinePunct w:val="0"/>
        <w:bidi w:val="0"/>
        <w:spacing w:line="360" w:lineRule="auto"/>
        <w:ind w:firstLine="420" w:firstLineChars="150"/>
        <w:outlineLvl w:val="3"/>
        <w:rPr>
          <w:rFonts w:ascii="Arial" w:hAnsi="Arial" w:eastAsia="黑体" w:cs="Arial"/>
          <w:sz w:val="28"/>
          <w:szCs w:val="28"/>
        </w:rPr>
      </w:pPr>
      <w:r>
        <w:rPr>
          <w:rFonts w:hint="eastAsia" w:ascii="Arial" w:hAnsi="Arial" w:eastAsia="黑体" w:cs="Arial"/>
          <w:sz w:val="28"/>
          <w:szCs w:val="28"/>
        </w:rPr>
        <w:t>2、合格的投标人</w:t>
      </w:r>
    </w:p>
    <w:p>
      <w:pPr>
        <w:pageBreakBefore w:val="0"/>
        <w:kinsoku/>
        <w:wordWrap/>
        <w:overflowPunct/>
        <w:topLinePunct w:val="0"/>
        <w:bidi w:val="0"/>
        <w:spacing w:line="360" w:lineRule="auto"/>
        <w:ind w:firstLine="480" w:firstLineChars="200"/>
        <w:rPr>
          <w:color w:val="000000"/>
          <w:sz w:val="24"/>
          <w:szCs w:val="24"/>
        </w:rPr>
      </w:pPr>
      <w:r>
        <w:rPr>
          <w:rFonts w:hint="eastAsia"/>
          <w:color w:val="000000"/>
          <w:sz w:val="24"/>
          <w:szCs w:val="24"/>
        </w:rPr>
        <w:t>2.1满足招标公告中供应商的资格要求的规定。</w:t>
      </w:r>
    </w:p>
    <w:p>
      <w:pPr>
        <w:pageBreakBefore w:val="0"/>
        <w:kinsoku/>
        <w:wordWrap/>
        <w:overflowPunct/>
        <w:topLinePunct w:val="0"/>
        <w:bidi w:val="0"/>
        <w:spacing w:line="360" w:lineRule="auto"/>
        <w:ind w:firstLine="480" w:firstLineChars="200"/>
        <w:rPr>
          <w:color w:val="000000"/>
          <w:sz w:val="24"/>
          <w:szCs w:val="24"/>
        </w:rPr>
      </w:pPr>
      <w:r>
        <w:rPr>
          <w:rFonts w:hint="eastAsia"/>
          <w:color w:val="000000"/>
          <w:sz w:val="24"/>
          <w:szCs w:val="24"/>
        </w:rPr>
        <w:t>2.2 满足本文件实质性条款的规定。</w:t>
      </w:r>
    </w:p>
    <w:p>
      <w:pPr>
        <w:keepNext/>
        <w:keepLines/>
        <w:pageBreakBefore w:val="0"/>
        <w:kinsoku/>
        <w:wordWrap/>
        <w:overflowPunct/>
        <w:topLinePunct w:val="0"/>
        <w:bidi w:val="0"/>
        <w:spacing w:line="360" w:lineRule="auto"/>
        <w:ind w:firstLine="420" w:firstLineChars="150"/>
        <w:outlineLvl w:val="3"/>
        <w:rPr>
          <w:rFonts w:ascii="Arial" w:hAnsi="Arial" w:eastAsia="黑体" w:cs="Arial"/>
          <w:sz w:val="28"/>
          <w:szCs w:val="28"/>
        </w:rPr>
      </w:pPr>
      <w:r>
        <w:rPr>
          <w:rFonts w:hint="eastAsia" w:ascii="Arial" w:hAnsi="Arial" w:eastAsia="黑体" w:cs="Arial"/>
          <w:sz w:val="28"/>
          <w:szCs w:val="28"/>
        </w:rPr>
        <w:t>3、适用法律</w:t>
      </w:r>
    </w:p>
    <w:p>
      <w:pPr>
        <w:pageBreakBefore w:val="0"/>
        <w:kinsoku/>
        <w:wordWrap/>
        <w:overflowPunct/>
        <w:topLinePunct w:val="0"/>
        <w:bidi w:val="0"/>
        <w:spacing w:line="360" w:lineRule="auto"/>
        <w:ind w:firstLine="480" w:firstLineChars="200"/>
        <w:rPr>
          <w:color w:val="000000"/>
          <w:sz w:val="24"/>
          <w:szCs w:val="24"/>
        </w:rPr>
      </w:pPr>
      <w:r>
        <w:rPr>
          <w:rFonts w:hint="eastAsia"/>
          <w:color w:val="000000"/>
          <w:sz w:val="24"/>
          <w:szCs w:val="24"/>
        </w:rPr>
        <w:t>3.1 本次招标及由此产生的合同受中华人民共和国有关的法律法规制约和保护</w:t>
      </w:r>
      <w:r>
        <w:rPr>
          <w:color w:val="000000"/>
          <w:sz w:val="24"/>
          <w:szCs w:val="24"/>
        </w:rPr>
        <w:t>。</w:t>
      </w:r>
    </w:p>
    <w:p>
      <w:pPr>
        <w:keepNext/>
        <w:keepLines/>
        <w:pageBreakBefore w:val="0"/>
        <w:kinsoku/>
        <w:wordWrap/>
        <w:overflowPunct/>
        <w:topLinePunct w:val="0"/>
        <w:bidi w:val="0"/>
        <w:spacing w:line="360" w:lineRule="auto"/>
        <w:ind w:firstLine="420" w:firstLineChars="150"/>
        <w:outlineLvl w:val="3"/>
        <w:rPr>
          <w:rFonts w:ascii="Arial" w:hAnsi="Arial" w:eastAsia="黑体" w:cs="Arial"/>
          <w:sz w:val="28"/>
          <w:szCs w:val="28"/>
        </w:rPr>
      </w:pPr>
      <w:r>
        <w:rPr>
          <w:rFonts w:hint="eastAsia" w:ascii="Arial" w:hAnsi="Arial" w:eastAsia="黑体" w:cs="Arial"/>
          <w:sz w:val="28"/>
          <w:szCs w:val="28"/>
        </w:rPr>
        <w:t>4、投标费用</w:t>
      </w:r>
    </w:p>
    <w:p>
      <w:pPr>
        <w:pageBreakBefore w:val="0"/>
        <w:kinsoku/>
        <w:wordWrap/>
        <w:overflowPunct/>
        <w:topLinePunct w:val="0"/>
        <w:bidi w:val="0"/>
        <w:spacing w:line="360" w:lineRule="auto"/>
        <w:ind w:firstLine="480" w:firstLineChars="200"/>
        <w:rPr>
          <w:color w:val="000000" w:themeColor="text1"/>
          <w:sz w:val="24"/>
          <w:szCs w:val="24"/>
        </w:rPr>
      </w:pPr>
      <w:r>
        <w:rPr>
          <w:color w:val="000000" w:themeColor="text1"/>
          <w:sz w:val="24"/>
          <w:szCs w:val="24"/>
        </w:rPr>
        <w:t>4.1 参加投标的供应商应自行承担所有与参加投标有关的费用。不论最终的成交结果如何，盐城幼儿师范高等专科学校在任何情况下均无义务和责任承担这些费用。</w:t>
      </w:r>
    </w:p>
    <w:p>
      <w:pPr>
        <w:pageBreakBefore w:val="0"/>
        <w:kinsoku/>
        <w:wordWrap/>
        <w:overflowPunct/>
        <w:topLinePunct w:val="0"/>
        <w:bidi w:val="0"/>
        <w:spacing w:line="360" w:lineRule="auto"/>
        <w:ind w:firstLine="480" w:firstLineChars="200"/>
        <w:rPr>
          <w:sz w:val="24"/>
        </w:rPr>
      </w:pPr>
      <w:r>
        <w:rPr>
          <w:sz w:val="24"/>
          <w:szCs w:val="24"/>
        </w:rPr>
        <w:t xml:space="preserve">4.2 </w:t>
      </w:r>
      <w:r>
        <w:rPr>
          <w:rFonts w:hint="eastAsia"/>
          <w:sz w:val="24"/>
        </w:rPr>
        <w:t>本项目招标代理费以中标价为计算基数，按发改价格[2011]534号规定文规定的取费标准×40%，低于3000元按3000元计，由中标人支付。投标人在报价时将招标代理费综合考虑进投标报价中（不单独列项），中标后领取中标通知书前由中标人向招标代理机构缴纳。</w:t>
      </w:r>
    </w:p>
    <w:p>
      <w:pPr>
        <w:pageBreakBefore w:val="0"/>
        <w:widowControl/>
        <w:shd w:val="clear" w:color="auto" w:fill="FFFFFF"/>
        <w:kinsoku/>
        <w:wordWrap/>
        <w:overflowPunct/>
        <w:topLinePunct w:val="0"/>
        <w:bidi w:val="0"/>
        <w:spacing w:line="360" w:lineRule="auto"/>
        <w:ind w:firstLine="482" w:firstLineChars="200"/>
        <w:rPr>
          <w:b/>
          <w:sz w:val="24"/>
          <w:szCs w:val="24"/>
        </w:rPr>
      </w:pPr>
      <w:r>
        <w:rPr>
          <w:rFonts w:hint="eastAsia"/>
          <w:b/>
          <w:sz w:val="24"/>
          <w:szCs w:val="24"/>
        </w:rPr>
        <w:t>5.招标文件的约束力</w:t>
      </w:r>
    </w:p>
    <w:p>
      <w:pPr>
        <w:pageBreakBefore w:val="0"/>
        <w:kinsoku/>
        <w:wordWrap/>
        <w:overflowPunct/>
        <w:topLinePunct w:val="0"/>
        <w:bidi w:val="0"/>
        <w:spacing w:line="360" w:lineRule="auto"/>
        <w:ind w:firstLine="480" w:firstLineChars="200"/>
        <w:rPr>
          <w:color w:val="000000"/>
          <w:sz w:val="24"/>
          <w:szCs w:val="24"/>
        </w:rPr>
      </w:pPr>
      <w:r>
        <w:rPr>
          <w:rFonts w:hint="eastAsia"/>
          <w:bCs/>
          <w:color w:val="000000"/>
          <w:sz w:val="24"/>
          <w:szCs w:val="24"/>
        </w:rPr>
        <w:t>5.1</w:t>
      </w:r>
      <w:r>
        <w:rPr>
          <w:rFonts w:hint="eastAsia"/>
          <w:color w:val="000000"/>
          <w:sz w:val="24"/>
          <w:szCs w:val="24"/>
        </w:rPr>
        <w:t xml:space="preserve"> 投标人一旦参加本项目采购活动，即被认为接受了本招标文件的规定和约束，并且视为自招标公告期限届满之日起知道或应当知道自身权益是否受到了损害。</w:t>
      </w:r>
    </w:p>
    <w:p>
      <w:pPr>
        <w:pageBreakBefore w:val="0"/>
        <w:widowControl/>
        <w:shd w:val="clear" w:color="auto" w:fill="FFFFFF"/>
        <w:kinsoku/>
        <w:wordWrap/>
        <w:overflowPunct/>
        <w:topLinePunct w:val="0"/>
        <w:bidi w:val="0"/>
        <w:spacing w:line="360" w:lineRule="auto"/>
        <w:ind w:firstLine="482" w:firstLineChars="200"/>
        <w:rPr>
          <w:b/>
          <w:sz w:val="24"/>
          <w:szCs w:val="24"/>
        </w:rPr>
      </w:pPr>
      <w:r>
        <w:rPr>
          <w:rFonts w:hint="eastAsia"/>
          <w:b/>
          <w:sz w:val="24"/>
          <w:szCs w:val="24"/>
        </w:rPr>
        <w:t>6.招标文件的解释</w:t>
      </w:r>
    </w:p>
    <w:p>
      <w:pPr>
        <w:pageBreakBefore w:val="0"/>
        <w:kinsoku/>
        <w:wordWrap/>
        <w:overflowPunct/>
        <w:topLinePunct w:val="0"/>
        <w:bidi w:val="0"/>
        <w:spacing w:line="360" w:lineRule="auto"/>
        <w:ind w:firstLine="480" w:firstLineChars="200"/>
        <w:rPr>
          <w:bCs/>
          <w:color w:val="000000"/>
          <w:sz w:val="24"/>
          <w:szCs w:val="24"/>
        </w:rPr>
      </w:pPr>
      <w:r>
        <w:rPr>
          <w:rFonts w:hint="eastAsia"/>
          <w:bCs/>
          <w:color w:val="000000"/>
          <w:sz w:val="24"/>
          <w:szCs w:val="24"/>
        </w:rPr>
        <w:t>6.1 本招标文件由采购人和</w:t>
      </w:r>
      <w:r>
        <w:rPr>
          <w:rFonts w:hint="eastAsia"/>
          <w:color w:val="000000"/>
          <w:sz w:val="24"/>
          <w:szCs w:val="24"/>
        </w:rPr>
        <w:t>采购代理机构</w:t>
      </w:r>
      <w:r>
        <w:rPr>
          <w:rFonts w:hint="eastAsia"/>
          <w:bCs/>
          <w:color w:val="000000"/>
          <w:sz w:val="24"/>
          <w:szCs w:val="24"/>
        </w:rPr>
        <w:t>负责解释。</w:t>
      </w:r>
    </w:p>
    <w:p>
      <w:pPr>
        <w:pageBreakBefore w:val="0"/>
        <w:widowControl/>
        <w:shd w:val="clear" w:color="auto" w:fill="FFFFFF"/>
        <w:kinsoku/>
        <w:wordWrap/>
        <w:overflowPunct/>
        <w:topLinePunct w:val="0"/>
        <w:bidi w:val="0"/>
        <w:spacing w:line="360" w:lineRule="auto"/>
        <w:ind w:firstLine="482" w:firstLineChars="200"/>
        <w:rPr>
          <w:b/>
          <w:sz w:val="24"/>
          <w:szCs w:val="24"/>
        </w:rPr>
      </w:pPr>
      <w:bookmarkStart w:id="16" w:name="_Toc20823281"/>
      <w:bookmarkStart w:id="17" w:name="_Toc120614215"/>
      <w:bookmarkStart w:id="18" w:name="_Toc513029209"/>
      <w:bookmarkStart w:id="19" w:name="_Toc16938525"/>
      <w:r>
        <w:rPr>
          <w:rFonts w:hint="eastAsia"/>
          <w:b/>
          <w:sz w:val="24"/>
          <w:szCs w:val="24"/>
        </w:rPr>
        <w:t>二、招标文件</w:t>
      </w:r>
      <w:bookmarkEnd w:id="16"/>
      <w:bookmarkEnd w:id="17"/>
      <w:bookmarkEnd w:id="18"/>
      <w:bookmarkEnd w:id="19"/>
    </w:p>
    <w:p>
      <w:pPr>
        <w:pageBreakBefore w:val="0"/>
        <w:widowControl/>
        <w:shd w:val="clear" w:color="auto" w:fill="FFFFFF"/>
        <w:kinsoku/>
        <w:wordWrap/>
        <w:overflowPunct/>
        <w:topLinePunct w:val="0"/>
        <w:bidi w:val="0"/>
        <w:spacing w:line="360" w:lineRule="auto"/>
        <w:ind w:firstLine="482" w:firstLineChars="200"/>
        <w:rPr>
          <w:b/>
          <w:sz w:val="24"/>
          <w:szCs w:val="24"/>
        </w:rPr>
      </w:pPr>
      <w:bookmarkStart w:id="20" w:name="_Toc513029210"/>
      <w:bookmarkStart w:id="21" w:name="_Toc16938526"/>
      <w:bookmarkStart w:id="22" w:name="_Toc20823282"/>
      <w:r>
        <w:rPr>
          <w:rFonts w:hint="eastAsia"/>
          <w:b/>
          <w:sz w:val="24"/>
          <w:szCs w:val="24"/>
        </w:rPr>
        <w:t>7.招标文件构成</w:t>
      </w:r>
      <w:bookmarkEnd w:id="20"/>
      <w:bookmarkEnd w:id="21"/>
      <w:bookmarkEnd w:id="22"/>
    </w:p>
    <w:p>
      <w:pPr>
        <w:pageBreakBefore w:val="0"/>
        <w:kinsoku/>
        <w:wordWrap/>
        <w:overflowPunct/>
        <w:topLinePunct w:val="0"/>
        <w:bidi w:val="0"/>
        <w:spacing w:line="360" w:lineRule="auto"/>
        <w:ind w:firstLine="480" w:firstLineChars="200"/>
        <w:rPr>
          <w:color w:val="000000"/>
          <w:sz w:val="24"/>
          <w:szCs w:val="24"/>
        </w:rPr>
      </w:pPr>
      <w:r>
        <w:rPr>
          <w:rFonts w:hint="eastAsia"/>
          <w:bCs/>
          <w:color w:val="000000"/>
          <w:sz w:val="24"/>
          <w:szCs w:val="24"/>
        </w:rPr>
        <w:t>7.1</w:t>
      </w:r>
      <w:r>
        <w:rPr>
          <w:rFonts w:hint="eastAsia"/>
          <w:color w:val="000000"/>
          <w:sz w:val="24"/>
          <w:szCs w:val="24"/>
        </w:rPr>
        <w:t xml:space="preserve"> 招标文件有以下部分组成：</w:t>
      </w:r>
    </w:p>
    <w:p>
      <w:pPr>
        <w:pageBreakBefore w:val="0"/>
        <w:kinsoku/>
        <w:wordWrap/>
        <w:overflowPunct/>
        <w:topLinePunct w:val="0"/>
        <w:bidi w:val="0"/>
        <w:spacing w:line="360" w:lineRule="auto"/>
        <w:ind w:firstLine="480" w:firstLineChars="200"/>
        <w:rPr>
          <w:color w:val="000000"/>
          <w:sz w:val="24"/>
          <w:szCs w:val="24"/>
        </w:rPr>
      </w:pPr>
      <w:r>
        <w:rPr>
          <w:rFonts w:hint="eastAsia"/>
          <w:color w:val="000000"/>
          <w:sz w:val="24"/>
          <w:szCs w:val="24"/>
        </w:rPr>
        <w:t>（1）招标公告</w:t>
      </w:r>
    </w:p>
    <w:p>
      <w:pPr>
        <w:pageBreakBefore w:val="0"/>
        <w:kinsoku/>
        <w:wordWrap/>
        <w:overflowPunct/>
        <w:topLinePunct w:val="0"/>
        <w:bidi w:val="0"/>
        <w:spacing w:line="360" w:lineRule="auto"/>
        <w:ind w:firstLine="480" w:firstLineChars="200"/>
        <w:rPr>
          <w:color w:val="000000"/>
          <w:sz w:val="24"/>
          <w:szCs w:val="24"/>
        </w:rPr>
      </w:pPr>
      <w:r>
        <w:rPr>
          <w:rFonts w:hint="eastAsia"/>
          <w:color w:val="000000"/>
          <w:sz w:val="24"/>
          <w:szCs w:val="24"/>
        </w:rPr>
        <w:t>（2）投标人须知</w:t>
      </w:r>
    </w:p>
    <w:p>
      <w:pPr>
        <w:pageBreakBefore w:val="0"/>
        <w:kinsoku/>
        <w:wordWrap/>
        <w:overflowPunct/>
        <w:topLinePunct w:val="0"/>
        <w:bidi w:val="0"/>
        <w:spacing w:line="360" w:lineRule="auto"/>
        <w:ind w:firstLine="480" w:firstLineChars="200"/>
        <w:rPr>
          <w:color w:val="000000"/>
          <w:sz w:val="24"/>
          <w:szCs w:val="24"/>
        </w:rPr>
      </w:pPr>
      <w:r>
        <w:rPr>
          <w:rFonts w:hint="eastAsia"/>
          <w:color w:val="000000"/>
          <w:sz w:val="24"/>
          <w:szCs w:val="24"/>
        </w:rPr>
        <w:t>（3）合同条款及格式</w:t>
      </w:r>
    </w:p>
    <w:p>
      <w:pPr>
        <w:pageBreakBefore w:val="0"/>
        <w:kinsoku/>
        <w:wordWrap/>
        <w:overflowPunct/>
        <w:topLinePunct w:val="0"/>
        <w:bidi w:val="0"/>
        <w:spacing w:line="360" w:lineRule="auto"/>
        <w:ind w:firstLine="480" w:firstLineChars="200"/>
        <w:rPr>
          <w:color w:val="000000"/>
          <w:sz w:val="24"/>
          <w:szCs w:val="24"/>
        </w:rPr>
      </w:pPr>
      <w:r>
        <w:rPr>
          <w:rFonts w:hint="eastAsia"/>
          <w:color w:val="000000"/>
          <w:sz w:val="24"/>
          <w:szCs w:val="24"/>
        </w:rPr>
        <w:t>（4）项目需求</w:t>
      </w:r>
    </w:p>
    <w:p>
      <w:pPr>
        <w:pageBreakBefore w:val="0"/>
        <w:kinsoku/>
        <w:wordWrap/>
        <w:overflowPunct/>
        <w:topLinePunct w:val="0"/>
        <w:bidi w:val="0"/>
        <w:spacing w:line="360" w:lineRule="auto"/>
        <w:ind w:firstLine="480" w:firstLineChars="200"/>
        <w:rPr>
          <w:color w:val="000000"/>
          <w:sz w:val="24"/>
          <w:szCs w:val="24"/>
        </w:rPr>
      </w:pPr>
      <w:r>
        <w:rPr>
          <w:rFonts w:hint="eastAsia"/>
          <w:color w:val="000000"/>
          <w:sz w:val="24"/>
          <w:szCs w:val="24"/>
        </w:rPr>
        <w:t>（5）定标原则与评标标准</w:t>
      </w:r>
    </w:p>
    <w:p>
      <w:pPr>
        <w:pageBreakBefore w:val="0"/>
        <w:kinsoku/>
        <w:wordWrap/>
        <w:overflowPunct/>
        <w:topLinePunct w:val="0"/>
        <w:bidi w:val="0"/>
        <w:spacing w:line="360" w:lineRule="auto"/>
        <w:ind w:firstLine="480" w:firstLineChars="200"/>
        <w:rPr>
          <w:color w:val="000000"/>
          <w:sz w:val="24"/>
          <w:szCs w:val="24"/>
        </w:rPr>
      </w:pPr>
      <w:r>
        <w:rPr>
          <w:rFonts w:hint="eastAsia"/>
          <w:color w:val="000000"/>
          <w:sz w:val="24"/>
          <w:szCs w:val="24"/>
        </w:rPr>
        <w:t>（6）投标文件格式</w:t>
      </w:r>
    </w:p>
    <w:p>
      <w:pPr>
        <w:pageBreakBefore w:val="0"/>
        <w:kinsoku/>
        <w:wordWrap/>
        <w:overflowPunct/>
        <w:topLinePunct w:val="0"/>
        <w:bidi w:val="0"/>
        <w:spacing w:line="360" w:lineRule="auto"/>
        <w:ind w:firstLine="480" w:firstLineChars="200"/>
        <w:rPr>
          <w:color w:val="000000"/>
          <w:sz w:val="24"/>
          <w:szCs w:val="24"/>
        </w:rPr>
      </w:pPr>
      <w:r>
        <w:rPr>
          <w:rFonts w:hint="eastAsia"/>
          <w:color w:val="000000"/>
          <w:sz w:val="24"/>
          <w:szCs w:val="24"/>
        </w:rPr>
        <w:t>请仔细检查招标文件是否齐全，如有缺漏请立即与采购人联系解决。</w:t>
      </w:r>
    </w:p>
    <w:p>
      <w:pPr>
        <w:pageBreakBefore w:val="0"/>
        <w:kinsoku/>
        <w:wordWrap/>
        <w:overflowPunct/>
        <w:topLinePunct w:val="0"/>
        <w:bidi w:val="0"/>
        <w:spacing w:line="360" w:lineRule="auto"/>
        <w:ind w:firstLine="480" w:firstLineChars="200"/>
        <w:rPr>
          <w:color w:val="000000"/>
          <w:sz w:val="24"/>
          <w:szCs w:val="24"/>
        </w:rPr>
      </w:pPr>
      <w:r>
        <w:rPr>
          <w:rFonts w:hint="eastAsia"/>
          <w:bCs/>
          <w:color w:val="000000"/>
          <w:sz w:val="24"/>
          <w:szCs w:val="24"/>
        </w:rPr>
        <w:t>7.2</w:t>
      </w:r>
      <w:r>
        <w:rPr>
          <w:rFonts w:hint="eastAsia"/>
          <w:color w:val="000000"/>
          <w:sz w:val="24"/>
          <w:szCs w:val="24"/>
        </w:rPr>
        <w:t xml:space="preserve"> 投标人应认真阅读招标文件中所有的事项、格式、条款和规范等要求。按招标文件要求和规定编制投标文件，并保证所提供的全部资料的真实性，以使其投标文件对招标文件作出实质性响应，否则其风险由投标人自行承担。</w:t>
      </w:r>
    </w:p>
    <w:p>
      <w:pPr>
        <w:pageBreakBefore w:val="0"/>
        <w:widowControl/>
        <w:shd w:val="clear" w:color="auto" w:fill="FFFFFF"/>
        <w:kinsoku/>
        <w:wordWrap/>
        <w:overflowPunct/>
        <w:topLinePunct w:val="0"/>
        <w:bidi w:val="0"/>
        <w:spacing w:line="360" w:lineRule="auto"/>
        <w:ind w:firstLine="482" w:firstLineChars="200"/>
        <w:rPr>
          <w:b/>
          <w:sz w:val="24"/>
          <w:szCs w:val="24"/>
        </w:rPr>
      </w:pPr>
      <w:bookmarkStart w:id="23" w:name="_Toc513029211"/>
      <w:bookmarkStart w:id="24" w:name="_Toc16938527"/>
      <w:bookmarkStart w:id="25" w:name="_Toc462564070"/>
      <w:bookmarkStart w:id="26" w:name="_Toc20823283"/>
      <w:r>
        <w:rPr>
          <w:rFonts w:hint="eastAsia"/>
          <w:b/>
          <w:sz w:val="24"/>
          <w:szCs w:val="24"/>
        </w:rPr>
        <w:t>8.招标文件的</w:t>
      </w:r>
      <w:bookmarkEnd w:id="23"/>
      <w:bookmarkEnd w:id="24"/>
      <w:bookmarkEnd w:id="25"/>
      <w:bookmarkEnd w:id="26"/>
      <w:r>
        <w:rPr>
          <w:rFonts w:hint="eastAsia"/>
          <w:b/>
          <w:sz w:val="24"/>
          <w:szCs w:val="24"/>
        </w:rPr>
        <w:t>询问</w:t>
      </w:r>
    </w:p>
    <w:p>
      <w:pPr>
        <w:pageBreakBefore w:val="0"/>
        <w:kinsoku/>
        <w:wordWrap/>
        <w:overflowPunct/>
        <w:topLinePunct w:val="0"/>
        <w:bidi w:val="0"/>
        <w:spacing w:line="360" w:lineRule="auto"/>
        <w:ind w:firstLine="480" w:firstLineChars="200"/>
        <w:rPr>
          <w:color w:val="000000"/>
          <w:sz w:val="24"/>
          <w:szCs w:val="24"/>
        </w:rPr>
      </w:pPr>
      <w:r>
        <w:rPr>
          <w:rFonts w:hint="eastAsia"/>
          <w:bCs/>
          <w:color w:val="000000"/>
          <w:sz w:val="24"/>
          <w:szCs w:val="24"/>
        </w:rPr>
        <w:t>8.1</w:t>
      </w:r>
      <w:r>
        <w:rPr>
          <w:rFonts w:hint="eastAsia"/>
          <w:color w:val="000000"/>
          <w:sz w:val="24"/>
          <w:szCs w:val="24"/>
        </w:rPr>
        <w:t xml:space="preserve"> 任何要求对招标文件进行询问的投标人，应在投标截止日期十日前按招标公告中的通讯地址，向代理机构或采购人书面提出。</w:t>
      </w:r>
    </w:p>
    <w:p>
      <w:pPr>
        <w:pageBreakBefore w:val="0"/>
        <w:widowControl/>
        <w:shd w:val="clear" w:color="auto" w:fill="FFFFFF"/>
        <w:kinsoku/>
        <w:wordWrap/>
        <w:overflowPunct/>
        <w:topLinePunct w:val="0"/>
        <w:bidi w:val="0"/>
        <w:spacing w:line="360" w:lineRule="auto"/>
        <w:ind w:firstLine="482" w:firstLineChars="200"/>
        <w:rPr>
          <w:b/>
          <w:sz w:val="24"/>
          <w:szCs w:val="24"/>
        </w:rPr>
      </w:pPr>
      <w:bookmarkStart w:id="27" w:name="_Toc20823284"/>
      <w:bookmarkStart w:id="28" w:name="_Toc462564071"/>
      <w:bookmarkStart w:id="29" w:name="_Toc513029212"/>
      <w:bookmarkStart w:id="30" w:name="_Toc16938528"/>
      <w:r>
        <w:rPr>
          <w:rFonts w:hint="eastAsia"/>
          <w:b/>
          <w:sz w:val="24"/>
          <w:szCs w:val="24"/>
        </w:rPr>
        <w:t>9.招标文件的修改</w:t>
      </w:r>
      <w:bookmarkEnd w:id="27"/>
      <w:bookmarkEnd w:id="28"/>
      <w:bookmarkEnd w:id="29"/>
      <w:bookmarkEnd w:id="30"/>
    </w:p>
    <w:p>
      <w:pPr>
        <w:pageBreakBefore w:val="0"/>
        <w:kinsoku/>
        <w:wordWrap/>
        <w:overflowPunct/>
        <w:topLinePunct w:val="0"/>
        <w:bidi w:val="0"/>
        <w:spacing w:line="360" w:lineRule="auto"/>
        <w:ind w:firstLine="480" w:firstLineChars="200"/>
        <w:rPr>
          <w:color w:val="000000"/>
          <w:sz w:val="24"/>
          <w:szCs w:val="24"/>
        </w:rPr>
      </w:pPr>
      <w:bookmarkStart w:id="31" w:name="_Toc120614216"/>
      <w:bookmarkStart w:id="32" w:name="_Toc462564072"/>
      <w:bookmarkStart w:id="33" w:name="_Toc513029213"/>
      <w:bookmarkStart w:id="34" w:name="_Toc16938529"/>
      <w:bookmarkStart w:id="35" w:name="_Toc20823285"/>
      <w:r>
        <w:rPr>
          <w:rFonts w:hint="eastAsia"/>
          <w:bCs/>
          <w:color w:val="000000"/>
          <w:sz w:val="24"/>
          <w:szCs w:val="24"/>
        </w:rPr>
        <w:t>9.1</w:t>
      </w:r>
      <w:r>
        <w:rPr>
          <w:rFonts w:hint="eastAsia"/>
          <w:color w:val="000000"/>
          <w:sz w:val="24"/>
          <w:szCs w:val="24"/>
        </w:rPr>
        <w:t xml:space="preserve"> 在投标截止时间前，招标人或招标代理机构可以对招标文件进行修改。</w:t>
      </w:r>
    </w:p>
    <w:p>
      <w:pPr>
        <w:pageBreakBefore w:val="0"/>
        <w:kinsoku/>
        <w:wordWrap/>
        <w:overflowPunct/>
        <w:topLinePunct w:val="0"/>
        <w:bidi w:val="0"/>
        <w:spacing w:line="360" w:lineRule="auto"/>
        <w:ind w:firstLine="480" w:firstLineChars="200"/>
        <w:rPr>
          <w:color w:val="000000"/>
          <w:sz w:val="24"/>
          <w:szCs w:val="24"/>
        </w:rPr>
      </w:pPr>
      <w:r>
        <w:rPr>
          <w:rFonts w:hint="eastAsia"/>
          <w:bCs/>
          <w:color w:val="000000"/>
          <w:sz w:val="24"/>
          <w:szCs w:val="24"/>
        </w:rPr>
        <w:t>9.2</w:t>
      </w:r>
      <w:r>
        <w:rPr>
          <w:rFonts w:hint="eastAsia"/>
          <w:color w:val="000000"/>
          <w:sz w:val="24"/>
          <w:szCs w:val="24"/>
        </w:rPr>
        <w:t>招标人有权依法推迟投标截止日期和开标日期。</w:t>
      </w:r>
    </w:p>
    <w:p>
      <w:pPr>
        <w:pageBreakBefore w:val="0"/>
        <w:kinsoku/>
        <w:wordWrap/>
        <w:overflowPunct/>
        <w:topLinePunct w:val="0"/>
        <w:bidi w:val="0"/>
        <w:spacing w:line="360" w:lineRule="auto"/>
        <w:ind w:firstLine="480" w:firstLineChars="200"/>
        <w:rPr>
          <w:color w:val="000000"/>
          <w:sz w:val="24"/>
          <w:szCs w:val="24"/>
        </w:rPr>
      </w:pPr>
      <w:r>
        <w:rPr>
          <w:rFonts w:hint="eastAsia"/>
          <w:bCs/>
          <w:color w:val="000000"/>
          <w:sz w:val="24"/>
          <w:szCs w:val="24"/>
        </w:rPr>
        <w:t>9.3</w:t>
      </w:r>
      <w:r>
        <w:rPr>
          <w:rFonts w:hint="eastAsia"/>
          <w:color w:val="000000"/>
          <w:sz w:val="24"/>
          <w:szCs w:val="24"/>
        </w:rPr>
        <w:t>招标文件的修改将在</w:t>
      </w:r>
      <w:r>
        <w:rPr>
          <w:rFonts w:hint="eastAsia"/>
          <w:color w:val="000000"/>
          <w:sz w:val="24"/>
          <w:szCs w:val="24"/>
          <w:u w:val="single"/>
        </w:rPr>
        <w:t>江苏政府采购网（http://www.ccgp-jiangsu.gov.cn/）、盐城市政府采购网http://czj.yancheng.gov.cn/col/col2383/index.html 、盐城幼儿师范高等专科学校网站www.yyz.edu.cn</w:t>
      </w:r>
      <w:r>
        <w:rPr>
          <w:rFonts w:hint="eastAsia"/>
          <w:color w:val="000000"/>
          <w:sz w:val="24"/>
          <w:szCs w:val="24"/>
        </w:rPr>
        <w:t>公布，补充文件将作为招标文件的组成部分，并对投标人具有约束力。</w:t>
      </w:r>
    </w:p>
    <w:p>
      <w:pPr>
        <w:pageBreakBefore w:val="0"/>
        <w:widowControl/>
        <w:shd w:val="clear" w:color="auto" w:fill="FFFFFF"/>
        <w:kinsoku/>
        <w:wordWrap/>
        <w:overflowPunct/>
        <w:topLinePunct w:val="0"/>
        <w:bidi w:val="0"/>
        <w:spacing w:line="360" w:lineRule="auto"/>
        <w:ind w:firstLine="482" w:firstLineChars="200"/>
        <w:rPr>
          <w:b/>
          <w:sz w:val="24"/>
          <w:szCs w:val="24"/>
        </w:rPr>
      </w:pPr>
      <w:r>
        <w:rPr>
          <w:rFonts w:hint="eastAsia"/>
          <w:b/>
          <w:sz w:val="24"/>
          <w:szCs w:val="24"/>
        </w:rPr>
        <w:t>三、投标文件的编制</w:t>
      </w:r>
      <w:bookmarkEnd w:id="31"/>
      <w:bookmarkEnd w:id="32"/>
      <w:bookmarkEnd w:id="33"/>
      <w:bookmarkEnd w:id="34"/>
      <w:bookmarkEnd w:id="35"/>
    </w:p>
    <w:p>
      <w:pPr>
        <w:pageBreakBefore w:val="0"/>
        <w:widowControl/>
        <w:shd w:val="clear" w:color="auto" w:fill="FFFFFF"/>
        <w:kinsoku/>
        <w:wordWrap/>
        <w:overflowPunct/>
        <w:topLinePunct w:val="0"/>
        <w:bidi w:val="0"/>
        <w:spacing w:line="360" w:lineRule="auto"/>
        <w:ind w:firstLine="482" w:firstLineChars="200"/>
        <w:rPr>
          <w:b/>
          <w:sz w:val="24"/>
          <w:szCs w:val="24"/>
        </w:rPr>
      </w:pPr>
      <w:bookmarkStart w:id="36" w:name="_Toc16938530"/>
      <w:bookmarkStart w:id="37" w:name="_Toc513029214"/>
      <w:bookmarkStart w:id="38" w:name="_Toc462564073"/>
      <w:bookmarkStart w:id="39" w:name="_Toc20823286"/>
      <w:r>
        <w:rPr>
          <w:rFonts w:hint="eastAsia"/>
          <w:b/>
          <w:sz w:val="24"/>
          <w:szCs w:val="24"/>
        </w:rPr>
        <w:t>10.投标文件的语言及度量衡单位</w:t>
      </w:r>
      <w:bookmarkEnd w:id="36"/>
      <w:bookmarkEnd w:id="37"/>
      <w:bookmarkEnd w:id="38"/>
      <w:bookmarkEnd w:id="39"/>
    </w:p>
    <w:p>
      <w:pPr>
        <w:pageBreakBefore w:val="0"/>
        <w:kinsoku/>
        <w:wordWrap/>
        <w:overflowPunct/>
        <w:topLinePunct w:val="0"/>
        <w:bidi w:val="0"/>
        <w:spacing w:line="360" w:lineRule="auto"/>
        <w:ind w:firstLine="480" w:firstLineChars="200"/>
        <w:rPr>
          <w:color w:val="000000"/>
          <w:sz w:val="24"/>
          <w:szCs w:val="24"/>
        </w:rPr>
      </w:pPr>
      <w:r>
        <w:rPr>
          <w:rFonts w:hint="eastAsia"/>
          <w:bCs/>
          <w:color w:val="000000"/>
          <w:sz w:val="24"/>
          <w:szCs w:val="24"/>
        </w:rPr>
        <w:t>10.1</w:t>
      </w:r>
      <w:r>
        <w:rPr>
          <w:rFonts w:hint="eastAsia"/>
          <w:color w:val="000000"/>
          <w:sz w:val="24"/>
          <w:szCs w:val="24"/>
        </w:rPr>
        <w:t xml:space="preserve"> 投标人提交的投标文件以及投标人与采购人和代理机构就有关投标的所有来往通知、函件和文件均应使用</w:t>
      </w:r>
      <w:r>
        <w:rPr>
          <w:rFonts w:hint="eastAsia"/>
          <w:b/>
          <w:bCs/>
          <w:color w:val="000000"/>
          <w:sz w:val="24"/>
          <w:szCs w:val="24"/>
        </w:rPr>
        <w:t>简体中文</w:t>
      </w:r>
      <w:r>
        <w:rPr>
          <w:rFonts w:hint="eastAsia"/>
          <w:color w:val="000000"/>
          <w:sz w:val="24"/>
          <w:szCs w:val="24"/>
        </w:rPr>
        <w:t>。</w:t>
      </w:r>
    </w:p>
    <w:p>
      <w:pPr>
        <w:pageBreakBefore w:val="0"/>
        <w:kinsoku/>
        <w:wordWrap/>
        <w:overflowPunct/>
        <w:topLinePunct w:val="0"/>
        <w:bidi w:val="0"/>
        <w:spacing w:line="360" w:lineRule="auto"/>
        <w:ind w:firstLine="480" w:firstLineChars="200"/>
        <w:rPr>
          <w:color w:val="000000"/>
          <w:sz w:val="24"/>
          <w:szCs w:val="24"/>
        </w:rPr>
      </w:pPr>
      <w:r>
        <w:rPr>
          <w:rFonts w:hint="eastAsia"/>
          <w:bCs/>
          <w:color w:val="000000"/>
          <w:sz w:val="24"/>
          <w:szCs w:val="24"/>
        </w:rPr>
        <w:t>10.2</w:t>
      </w:r>
      <w:r>
        <w:rPr>
          <w:rFonts w:hint="eastAsia"/>
          <w:color w:val="000000"/>
          <w:sz w:val="24"/>
          <w:szCs w:val="24"/>
        </w:rPr>
        <w:t xml:space="preserve"> 除技术性能另有规定外，投标文件所使用的度量衡单位，均须采用国家法定计量单位。</w:t>
      </w:r>
    </w:p>
    <w:p>
      <w:pPr>
        <w:pageBreakBefore w:val="0"/>
        <w:widowControl/>
        <w:shd w:val="clear" w:color="auto" w:fill="FFFFFF"/>
        <w:kinsoku/>
        <w:wordWrap/>
        <w:overflowPunct/>
        <w:topLinePunct w:val="0"/>
        <w:bidi w:val="0"/>
        <w:spacing w:line="360" w:lineRule="auto"/>
        <w:ind w:firstLine="482" w:firstLineChars="200"/>
        <w:rPr>
          <w:b/>
          <w:sz w:val="24"/>
          <w:szCs w:val="24"/>
        </w:rPr>
      </w:pPr>
      <w:bookmarkStart w:id="40" w:name="_Toc462564074"/>
      <w:bookmarkStart w:id="41" w:name="_Toc20823287"/>
      <w:bookmarkStart w:id="42" w:name="_Toc513029215"/>
      <w:bookmarkStart w:id="43" w:name="_Toc16938531"/>
      <w:r>
        <w:rPr>
          <w:rFonts w:hint="eastAsia"/>
          <w:b/>
          <w:sz w:val="24"/>
          <w:szCs w:val="24"/>
        </w:rPr>
        <w:t>11.投标文件构成</w:t>
      </w:r>
      <w:bookmarkEnd w:id="40"/>
      <w:bookmarkEnd w:id="41"/>
      <w:bookmarkEnd w:id="42"/>
      <w:bookmarkEnd w:id="43"/>
    </w:p>
    <w:p>
      <w:pPr>
        <w:pageBreakBefore w:val="0"/>
        <w:kinsoku/>
        <w:wordWrap/>
        <w:overflowPunct/>
        <w:topLinePunct w:val="0"/>
        <w:bidi w:val="0"/>
        <w:spacing w:line="360" w:lineRule="auto"/>
        <w:ind w:firstLine="480" w:firstLineChars="200"/>
        <w:rPr>
          <w:color w:val="000000"/>
          <w:sz w:val="24"/>
          <w:szCs w:val="24"/>
        </w:rPr>
      </w:pPr>
      <w:bookmarkStart w:id="44" w:name="_Hlt26954838"/>
      <w:bookmarkEnd w:id="44"/>
      <w:bookmarkStart w:id="45" w:name="_Hlt26668975"/>
      <w:bookmarkEnd w:id="45"/>
      <w:bookmarkStart w:id="46" w:name="_Hlt26670360"/>
      <w:bookmarkEnd w:id="46"/>
      <w:bookmarkStart w:id="47" w:name="_Toc49090509"/>
      <w:bookmarkStart w:id="48" w:name="_Toc513029219"/>
      <w:bookmarkStart w:id="49" w:name="_Toc14577357"/>
      <w:bookmarkStart w:id="50" w:name="_Toc513029216"/>
      <w:bookmarkStart w:id="51" w:name="_Toc49090507"/>
      <w:bookmarkStart w:id="52" w:name="_Toc14577354"/>
      <w:r>
        <w:rPr>
          <w:rFonts w:hint="eastAsia"/>
          <w:color w:val="000000"/>
          <w:sz w:val="24"/>
          <w:szCs w:val="24"/>
        </w:rPr>
        <w:t>投标文件正、副本至少应提交（包含并不限于）以下投标材料：</w:t>
      </w:r>
    </w:p>
    <w:p>
      <w:pPr>
        <w:pageBreakBefore w:val="0"/>
        <w:kinsoku/>
        <w:wordWrap/>
        <w:overflowPunct/>
        <w:topLinePunct w:val="0"/>
        <w:bidi w:val="0"/>
        <w:spacing w:line="360" w:lineRule="auto"/>
        <w:ind w:firstLine="480" w:firstLineChars="200"/>
        <w:rPr>
          <w:color w:val="000000"/>
          <w:sz w:val="24"/>
          <w:szCs w:val="24"/>
        </w:rPr>
      </w:pPr>
      <w:r>
        <w:rPr>
          <w:rFonts w:hint="eastAsia"/>
          <w:color w:val="000000"/>
          <w:sz w:val="24"/>
          <w:szCs w:val="24"/>
        </w:rPr>
        <w:t>11.1 资信证明文件</w:t>
      </w:r>
    </w:p>
    <w:p>
      <w:pPr>
        <w:pageBreakBefore w:val="0"/>
        <w:kinsoku/>
        <w:wordWrap/>
        <w:overflowPunct/>
        <w:topLinePunct w:val="0"/>
        <w:bidi w:val="0"/>
        <w:spacing w:line="360" w:lineRule="auto"/>
        <w:ind w:firstLine="480" w:firstLineChars="200"/>
        <w:rPr>
          <w:color w:val="000000"/>
          <w:sz w:val="24"/>
          <w:szCs w:val="24"/>
        </w:rPr>
      </w:pPr>
      <w:r>
        <w:rPr>
          <w:rFonts w:hint="eastAsia"/>
          <w:color w:val="000000"/>
          <w:sz w:val="24"/>
          <w:szCs w:val="24"/>
        </w:rPr>
        <w:t>11.2 资格性审查响应对照表</w:t>
      </w:r>
    </w:p>
    <w:p>
      <w:pPr>
        <w:pageBreakBefore w:val="0"/>
        <w:kinsoku/>
        <w:wordWrap/>
        <w:overflowPunct/>
        <w:topLinePunct w:val="0"/>
        <w:bidi w:val="0"/>
        <w:spacing w:line="360" w:lineRule="auto"/>
        <w:ind w:firstLine="480" w:firstLineChars="200"/>
        <w:rPr>
          <w:bCs/>
          <w:color w:val="000000"/>
          <w:sz w:val="24"/>
          <w:szCs w:val="24"/>
        </w:rPr>
      </w:pPr>
      <w:r>
        <w:rPr>
          <w:rFonts w:hint="eastAsia"/>
          <w:color w:val="000000"/>
          <w:sz w:val="24"/>
          <w:szCs w:val="24"/>
        </w:rPr>
        <w:t>11.3 符合性检查响应对照表</w:t>
      </w:r>
    </w:p>
    <w:p>
      <w:pPr>
        <w:pageBreakBefore w:val="0"/>
        <w:kinsoku/>
        <w:wordWrap/>
        <w:overflowPunct/>
        <w:topLinePunct w:val="0"/>
        <w:bidi w:val="0"/>
        <w:spacing w:line="360" w:lineRule="auto"/>
        <w:ind w:firstLine="480" w:firstLineChars="200"/>
        <w:rPr>
          <w:color w:val="000000"/>
          <w:sz w:val="24"/>
          <w:szCs w:val="24"/>
        </w:rPr>
      </w:pPr>
      <w:r>
        <w:rPr>
          <w:rFonts w:hint="eastAsia"/>
          <w:color w:val="000000"/>
          <w:sz w:val="24"/>
          <w:szCs w:val="24"/>
        </w:rPr>
        <w:t>11.4 投标函</w:t>
      </w:r>
    </w:p>
    <w:p>
      <w:pPr>
        <w:pageBreakBefore w:val="0"/>
        <w:kinsoku/>
        <w:wordWrap/>
        <w:overflowPunct/>
        <w:topLinePunct w:val="0"/>
        <w:bidi w:val="0"/>
        <w:spacing w:line="360" w:lineRule="auto"/>
        <w:ind w:firstLine="480" w:firstLineChars="200"/>
        <w:rPr>
          <w:color w:val="000000"/>
          <w:sz w:val="24"/>
          <w:szCs w:val="24"/>
        </w:rPr>
      </w:pPr>
      <w:r>
        <w:rPr>
          <w:rFonts w:hint="eastAsia"/>
          <w:color w:val="000000"/>
          <w:sz w:val="24"/>
          <w:szCs w:val="24"/>
        </w:rPr>
        <w:t>11.5 开标一览表（详见投标文件格式，用于唱标）</w:t>
      </w:r>
    </w:p>
    <w:p>
      <w:pPr>
        <w:pageBreakBefore w:val="0"/>
        <w:kinsoku/>
        <w:wordWrap/>
        <w:overflowPunct/>
        <w:topLinePunct w:val="0"/>
        <w:bidi w:val="0"/>
        <w:spacing w:line="360" w:lineRule="auto"/>
        <w:ind w:firstLine="480" w:firstLineChars="200"/>
        <w:rPr>
          <w:color w:val="000000"/>
          <w:sz w:val="24"/>
          <w:szCs w:val="24"/>
        </w:rPr>
      </w:pPr>
      <w:r>
        <w:rPr>
          <w:rFonts w:hint="eastAsia"/>
          <w:color w:val="000000"/>
          <w:sz w:val="24"/>
          <w:szCs w:val="24"/>
        </w:rPr>
        <w:t>11.6</w:t>
      </w:r>
      <w:r>
        <w:rPr>
          <w:color w:val="000000"/>
          <w:sz w:val="24"/>
          <w:szCs w:val="24"/>
        </w:rPr>
        <w:t xml:space="preserve"> 技术参数响应及偏离表</w:t>
      </w:r>
    </w:p>
    <w:p>
      <w:pPr>
        <w:pageBreakBefore w:val="0"/>
        <w:kinsoku/>
        <w:wordWrap/>
        <w:overflowPunct/>
        <w:topLinePunct w:val="0"/>
        <w:bidi w:val="0"/>
        <w:spacing w:line="360" w:lineRule="auto"/>
        <w:ind w:firstLine="480" w:firstLineChars="200"/>
        <w:rPr>
          <w:color w:val="000000"/>
          <w:sz w:val="24"/>
          <w:szCs w:val="24"/>
        </w:rPr>
      </w:pPr>
      <w:r>
        <w:rPr>
          <w:rFonts w:hint="eastAsia"/>
          <w:color w:val="000000"/>
          <w:sz w:val="24"/>
          <w:szCs w:val="24"/>
        </w:rPr>
        <w:t>11.7商务</w:t>
      </w:r>
      <w:r>
        <w:rPr>
          <w:color w:val="000000"/>
          <w:sz w:val="24"/>
          <w:szCs w:val="24"/>
        </w:rPr>
        <w:t>条款响应及偏离表</w:t>
      </w:r>
    </w:p>
    <w:p>
      <w:pPr>
        <w:pageBreakBefore w:val="0"/>
        <w:kinsoku/>
        <w:wordWrap/>
        <w:overflowPunct/>
        <w:topLinePunct w:val="0"/>
        <w:bidi w:val="0"/>
        <w:spacing w:line="360" w:lineRule="auto"/>
        <w:ind w:firstLine="480" w:firstLineChars="200"/>
        <w:rPr>
          <w:rFonts w:hint="eastAsia" w:eastAsia="宋体"/>
          <w:color w:val="000000"/>
          <w:sz w:val="24"/>
          <w:szCs w:val="24"/>
          <w:lang w:eastAsia="zh-CN"/>
        </w:rPr>
      </w:pPr>
      <w:bookmarkStart w:id="53" w:name="_Toc105320194"/>
      <w:r>
        <w:rPr>
          <w:rFonts w:hint="eastAsia"/>
          <w:color w:val="000000"/>
          <w:sz w:val="24"/>
          <w:szCs w:val="24"/>
        </w:rPr>
        <w:t xml:space="preserve">11.8 </w:t>
      </w:r>
      <w:bookmarkEnd w:id="53"/>
      <w:r>
        <w:rPr>
          <w:rFonts w:hint="eastAsia"/>
          <w:color w:val="000000"/>
          <w:sz w:val="24"/>
          <w:szCs w:val="24"/>
          <w:lang w:eastAsia="zh-CN"/>
        </w:rPr>
        <w:t>承诺书</w:t>
      </w:r>
    </w:p>
    <w:p>
      <w:pPr>
        <w:pageBreakBefore w:val="0"/>
        <w:kinsoku/>
        <w:wordWrap/>
        <w:overflowPunct/>
        <w:topLinePunct w:val="0"/>
        <w:bidi w:val="0"/>
        <w:spacing w:line="360" w:lineRule="auto"/>
        <w:ind w:firstLine="480" w:firstLineChars="200"/>
        <w:rPr>
          <w:color w:val="000000"/>
          <w:sz w:val="24"/>
          <w:szCs w:val="24"/>
        </w:rPr>
      </w:pPr>
      <w:r>
        <w:rPr>
          <w:rFonts w:hint="eastAsia"/>
          <w:color w:val="000000"/>
          <w:sz w:val="24"/>
          <w:szCs w:val="24"/>
        </w:rPr>
        <w:t>11.9</w:t>
      </w:r>
      <w:r>
        <w:rPr>
          <w:color w:val="000000"/>
          <w:sz w:val="24"/>
          <w:szCs w:val="24"/>
        </w:rPr>
        <w:t>盐城市政府采购事前信用承诺书</w:t>
      </w:r>
    </w:p>
    <w:p>
      <w:pPr>
        <w:pageBreakBefore w:val="0"/>
        <w:kinsoku/>
        <w:wordWrap/>
        <w:overflowPunct/>
        <w:topLinePunct w:val="0"/>
        <w:bidi w:val="0"/>
        <w:spacing w:line="360" w:lineRule="auto"/>
        <w:ind w:firstLine="480" w:firstLineChars="200"/>
        <w:rPr>
          <w:rFonts w:hint="default" w:ascii="Times New Roman" w:hAnsi="Times New Roman" w:eastAsia="宋体" w:cs="Times New Roman"/>
          <w:color w:val="000000"/>
          <w:kern w:val="2"/>
          <w:sz w:val="24"/>
          <w:szCs w:val="24"/>
          <w:lang w:val="en-US" w:eastAsia="zh-CN" w:bidi="ar-SA"/>
        </w:rPr>
      </w:pPr>
      <w:r>
        <w:rPr>
          <w:rFonts w:hint="eastAsia" w:ascii="Times New Roman" w:hAnsi="Times New Roman" w:eastAsia="宋体" w:cs="Times New Roman"/>
          <w:color w:val="000000"/>
          <w:kern w:val="2"/>
          <w:sz w:val="24"/>
          <w:szCs w:val="24"/>
          <w:lang w:val="en-US" w:eastAsia="zh-CN" w:bidi="ar-SA"/>
        </w:rPr>
        <w:t>11.</w:t>
      </w:r>
      <w:r>
        <w:rPr>
          <w:rFonts w:hint="eastAsia" w:ascii="Times New Roman" w:eastAsia="宋体" w:cs="Times New Roman"/>
          <w:color w:val="000000"/>
          <w:kern w:val="2"/>
          <w:sz w:val="24"/>
          <w:szCs w:val="24"/>
          <w:lang w:val="en-US" w:eastAsia="zh-CN" w:bidi="ar-SA"/>
        </w:rPr>
        <w:t xml:space="preserve">10 </w:t>
      </w:r>
      <w:r>
        <w:rPr>
          <w:rFonts w:hint="eastAsia"/>
          <w:color w:val="000000"/>
          <w:sz w:val="24"/>
          <w:szCs w:val="24"/>
        </w:rPr>
        <w:t>招标文件中规定要求提供的证明材料和投标人认为需要提供的其他材料</w:t>
      </w:r>
    </w:p>
    <w:p>
      <w:pPr>
        <w:pageBreakBefore w:val="0"/>
        <w:kinsoku/>
        <w:wordWrap/>
        <w:overflowPunct/>
        <w:topLinePunct w:val="0"/>
        <w:bidi w:val="0"/>
        <w:snapToGrid w:val="0"/>
        <w:spacing w:line="360" w:lineRule="auto"/>
        <w:ind w:firstLine="480" w:firstLineChars="200"/>
        <w:rPr>
          <w:color w:val="000000" w:themeColor="text1"/>
          <w:sz w:val="24"/>
          <w:szCs w:val="24"/>
        </w:rPr>
      </w:pPr>
      <w:r>
        <w:rPr>
          <w:rFonts w:hint="eastAsia"/>
          <w:color w:val="000000"/>
          <w:sz w:val="24"/>
          <w:szCs w:val="24"/>
        </w:rPr>
        <w:t>投标人应将投标文件按标书顺序装订成册，并编制投标文件资料目录。</w:t>
      </w:r>
      <w:r>
        <w:rPr>
          <w:color w:val="000000" w:themeColor="text1"/>
          <w:sz w:val="24"/>
          <w:szCs w:val="24"/>
        </w:rPr>
        <w:t>招标文件要求提供原件的必须单独封装并与投标文</w:t>
      </w:r>
      <w:bookmarkStart w:id="132" w:name="_GoBack"/>
      <w:bookmarkEnd w:id="132"/>
      <w:r>
        <w:rPr>
          <w:color w:val="000000" w:themeColor="text1"/>
          <w:sz w:val="24"/>
          <w:szCs w:val="24"/>
        </w:rPr>
        <w:t>件一起递交，评标结束后原件退回；未要求提供原件的提供复印件，原件自带备查</w:t>
      </w:r>
      <w:r>
        <w:rPr>
          <w:rFonts w:hint="eastAsia"/>
          <w:color w:val="000000" w:themeColor="text1"/>
          <w:sz w:val="24"/>
          <w:szCs w:val="24"/>
        </w:rPr>
        <w:t>。</w:t>
      </w:r>
    </w:p>
    <w:p>
      <w:pPr>
        <w:pageBreakBefore w:val="0"/>
        <w:kinsoku/>
        <w:wordWrap/>
        <w:overflowPunct/>
        <w:topLinePunct w:val="0"/>
        <w:bidi w:val="0"/>
        <w:spacing w:line="360" w:lineRule="auto"/>
        <w:ind w:firstLine="482" w:firstLineChars="200"/>
        <w:rPr>
          <w:color w:val="000000"/>
          <w:sz w:val="24"/>
          <w:szCs w:val="24"/>
        </w:rPr>
      </w:pPr>
      <w:bookmarkStart w:id="54" w:name="_Toc105320195"/>
      <w:r>
        <w:rPr>
          <w:rFonts w:hint="eastAsia"/>
          <w:b/>
          <w:color w:val="000000"/>
          <w:sz w:val="24"/>
          <w:szCs w:val="24"/>
        </w:rPr>
        <w:t>标书正本一份，副本四份。</w:t>
      </w:r>
      <w:bookmarkEnd w:id="54"/>
    </w:p>
    <w:p>
      <w:pPr>
        <w:pageBreakBefore w:val="0"/>
        <w:widowControl/>
        <w:shd w:val="clear" w:color="auto" w:fill="FFFFFF"/>
        <w:kinsoku/>
        <w:wordWrap/>
        <w:overflowPunct/>
        <w:topLinePunct w:val="0"/>
        <w:bidi w:val="0"/>
        <w:spacing w:line="360" w:lineRule="auto"/>
        <w:ind w:firstLine="482" w:firstLineChars="200"/>
        <w:rPr>
          <w:b/>
          <w:sz w:val="24"/>
          <w:szCs w:val="24"/>
        </w:rPr>
      </w:pPr>
      <w:r>
        <w:rPr>
          <w:rFonts w:hint="eastAsia"/>
          <w:b/>
          <w:sz w:val="24"/>
          <w:szCs w:val="24"/>
        </w:rPr>
        <w:t>12.证明投标人资格及符合招标文件规定的文件</w:t>
      </w:r>
      <w:bookmarkEnd w:id="47"/>
      <w:bookmarkEnd w:id="48"/>
      <w:bookmarkEnd w:id="49"/>
    </w:p>
    <w:p>
      <w:pPr>
        <w:pageBreakBefore w:val="0"/>
        <w:kinsoku/>
        <w:wordWrap/>
        <w:overflowPunct/>
        <w:topLinePunct w:val="0"/>
        <w:bidi w:val="0"/>
        <w:spacing w:line="360" w:lineRule="auto"/>
        <w:ind w:firstLine="480" w:firstLineChars="200"/>
        <w:rPr>
          <w:color w:val="000000"/>
          <w:sz w:val="24"/>
          <w:szCs w:val="24"/>
        </w:rPr>
      </w:pPr>
      <w:r>
        <w:rPr>
          <w:rFonts w:hint="eastAsia"/>
          <w:color w:val="000000"/>
          <w:sz w:val="24"/>
          <w:szCs w:val="24"/>
        </w:rPr>
        <w:t>12.1</w:t>
      </w:r>
      <w:bookmarkStart w:id="55" w:name="_Hlt26668999"/>
      <w:bookmarkEnd w:id="55"/>
      <w:r>
        <w:rPr>
          <w:rFonts w:hint="eastAsia"/>
          <w:color w:val="000000"/>
          <w:sz w:val="24"/>
          <w:szCs w:val="24"/>
        </w:rPr>
        <w:t>投标人应按要求提交资格证明文件及符合招标文件规定的文件。</w:t>
      </w:r>
    </w:p>
    <w:p>
      <w:pPr>
        <w:pageBreakBefore w:val="0"/>
        <w:kinsoku/>
        <w:wordWrap/>
        <w:overflowPunct/>
        <w:topLinePunct w:val="0"/>
        <w:bidi w:val="0"/>
        <w:spacing w:line="360" w:lineRule="auto"/>
        <w:ind w:firstLine="480" w:firstLineChars="200"/>
        <w:rPr>
          <w:color w:val="000000"/>
          <w:sz w:val="24"/>
          <w:szCs w:val="24"/>
        </w:rPr>
      </w:pPr>
      <w:r>
        <w:rPr>
          <w:rFonts w:hint="eastAsia"/>
          <w:color w:val="000000"/>
          <w:sz w:val="24"/>
          <w:szCs w:val="24"/>
        </w:rPr>
        <w:t>12.2投标人应提交证明其有资格参加投标和中标后有能力独立履行合同的文件。</w:t>
      </w:r>
    </w:p>
    <w:p>
      <w:pPr>
        <w:pageBreakBefore w:val="0"/>
        <w:kinsoku/>
        <w:wordWrap/>
        <w:overflowPunct/>
        <w:topLinePunct w:val="0"/>
        <w:bidi w:val="0"/>
        <w:spacing w:line="360" w:lineRule="auto"/>
        <w:ind w:firstLine="480" w:firstLineChars="200"/>
        <w:rPr>
          <w:color w:val="000000"/>
          <w:sz w:val="24"/>
          <w:szCs w:val="24"/>
        </w:rPr>
      </w:pPr>
      <w:r>
        <w:rPr>
          <w:rFonts w:hint="eastAsia"/>
          <w:color w:val="000000"/>
          <w:sz w:val="24"/>
          <w:szCs w:val="24"/>
        </w:rPr>
        <w:t>12.3投标人除必须具有履行合同所需提供的服务的能力外，还必须具备相应的财务、技术方面的能力。</w:t>
      </w:r>
    </w:p>
    <w:p>
      <w:pPr>
        <w:pageBreakBefore w:val="0"/>
        <w:kinsoku/>
        <w:wordWrap/>
        <w:overflowPunct/>
        <w:topLinePunct w:val="0"/>
        <w:bidi w:val="0"/>
        <w:spacing w:line="360" w:lineRule="auto"/>
        <w:ind w:firstLine="480" w:firstLineChars="200"/>
        <w:rPr>
          <w:color w:val="000000"/>
          <w:sz w:val="24"/>
          <w:szCs w:val="24"/>
        </w:rPr>
      </w:pPr>
      <w:r>
        <w:rPr>
          <w:rFonts w:hint="eastAsia"/>
          <w:color w:val="000000"/>
          <w:sz w:val="24"/>
          <w:szCs w:val="24"/>
        </w:rPr>
        <w:t>12.4投标人应提交根据合同要求提供的证明产品质量合格以及符合招标文件规定的证明文件。</w:t>
      </w:r>
    </w:p>
    <w:p>
      <w:pPr>
        <w:pageBreakBefore w:val="0"/>
        <w:kinsoku/>
        <w:wordWrap/>
        <w:overflowPunct/>
        <w:topLinePunct w:val="0"/>
        <w:bidi w:val="0"/>
        <w:spacing w:line="360" w:lineRule="auto"/>
        <w:ind w:firstLine="480" w:firstLineChars="200"/>
        <w:rPr>
          <w:color w:val="000000"/>
          <w:sz w:val="24"/>
          <w:szCs w:val="24"/>
        </w:rPr>
      </w:pPr>
      <w:r>
        <w:rPr>
          <w:rFonts w:hint="eastAsia"/>
          <w:color w:val="000000"/>
          <w:sz w:val="24"/>
          <w:szCs w:val="24"/>
        </w:rPr>
        <w:t>12.5证明投标人所提供服务与招标文件的要求相一致的文件可以是手册、图纸、文字资料和数据</w:t>
      </w:r>
      <w:r>
        <w:rPr>
          <w:rFonts w:hint="eastAsia"/>
          <w:bCs/>
          <w:color w:val="000000"/>
          <w:sz w:val="24"/>
          <w:szCs w:val="24"/>
        </w:rPr>
        <w:t>。</w:t>
      </w:r>
    </w:p>
    <w:bookmarkEnd w:id="50"/>
    <w:bookmarkEnd w:id="51"/>
    <w:bookmarkEnd w:id="52"/>
    <w:p>
      <w:pPr>
        <w:pageBreakBefore w:val="0"/>
        <w:widowControl/>
        <w:shd w:val="clear" w:color="auto" w:fill="FFFFFF"/>
        <w:kinsoku/>
        <w:wordWrap/>
        <w:overflowPunct/>
        <w:topLinePunct w:val="0"/>
        <w:bidi w:val="0"/>
        <w:spacing w:line="360" w:lineRule="auto"/>
        <w:ind w:firstLine="482" w:firstLineChars="200"/>
        <w:rPr>
          <w:b/>
          <w:sz w:val="24"/>
          <w:szCs w:val="24"/>
        </w:rPr>
      </w:pPr>
      <w:bookmarkStart w:id="56" w:name="_Toc49090508"/>
      <w:bookmarkStart w:id="57" w:name="_Toc14577355"/>
      <w:r>
        <w:rPr>
          <w:rFonts w:hint="eastAsia"/>
          <w:b/>
          <w:sz w:val="24"/>
          <w:szCs w:val="24"/>
        </w:rPr>
        <w:t>13.</w:t>
      </w:r>
      <w:bookmarkEnd w:id="56"/>
      <w:bookmarkEnd w:id="57"/>
      <w:r>
        <w:rPr>
          <w:rFonts w:hint="eastAsia"/>
          <w:b/>
          <w:sz w:val="24"/>
          <w:szCs w:val="24"/>
        </w:rPr>
        <w:t>投标报价</w:t>
      </w:r>
    </w:p>
    <w:p>
      <w:pPr>
        <w:pageBreakBefore w:val="0"/>
        <w:kinsoku/>
        <w:wordWrap/>
        <w:overflowPunct/>
        <w:topLinePunct w:val="0"/>
        <w:bidi w:val="0"/>
        <w:spacing w:line="360" w:lineRule="auto"/>
        <w:ind w:firstLine="480" w:firstLineChars="200"/>
        <w:rPr>
          <w:rFonts w:ascii="宋体" w:hAnsi="宋体" w:cs="宋体"/>
          <w:bCs/>
          <w:sz w:val="24"/>
          <w:szCs w:val="24"/>
        </w:rPr>
      </w:pPr>
      <w:bookmarkStart w:id="58" w:name="_Hlt26954731"/>
      <w:bookmarkEnd w:id="58"/>
      <w:bookmarkStart w:id="59" w:name="_Hlt26670486"/>
      <w:bookmarkEnd w:id="59"/>
      <w:bookmarkStart w:id="60" w:name="_Hlt26954848"/>
      <w:bookmarkEnd w:id="60"/>
      <w:bookmarkStart w:id="61" w:name="_Hlt26954846"/>
      <w:bookmarkEnd w:id="61"/>
      <w:bookmarkStart w:id="62" w:name="_Hlt26670482"/>
      <w:bookmarkEnd w:id="62"/>
      <w:r>
        <w:rPr>
          <w:rFonts w:hint="eastAsia"/>
          <w:color w:val="000000"/>
          <w:sz w:val="24"/>
          <w:szCs w:val="24"/>
        </w:rPr>
        <w:t>13.1</w:t>
      </w:r>
      <w:r>
        <w:rPr>
          <w:rFonts w:hint="eastAsia" w:ascii="宋体" w:hAnsi="宋体" w:cs="宋体"/>
          <w:sz w:val="24"/>
          <w:szCs w:val="24"/>
        </w:rPr>
        <w:t>投标人的报价应包括所投产品费用、税金、运输费、编目、上架及其他有关的为完成本项目发生的所有费用，招标文件中另有规定的除外。</w:t>
      </w:r>
    </w:p>
    <w:p>
      <w:pPr>
        <w:pageBreakBefore w:val="0"/>
        <w:widowControl/>
        <w:shd w:val="clear" w:color="auto" w:fill="FFFFFF"/>
        <w:kinsoku/>
        <w:wordWrap/>
        <w:overflowPunct/>
        <w:topLinePunct w:val="0"/>
        <w:bidi w:val="0"/>
        <w:spacing w:line="360" w:lineRule="auto"/>
        <w:ind w:firstLine="482" w:firstLineChars="200"/>
        <w:rPr>
          <w:b/>
          <w:sz w:val="24"/>
          <w:szCs w:val="24"/>
        </w:rPr>
      </w:pPr>
      <w:r>
        <w:rPr>
          <w:rFonts w:hint="eastAsia"/>
          <w:b/>
          <w:sz w:val="24"/>
          <w:szCs w:val="24"/>
        </w:rPr>
        <w:t>14.技术参数响应及偏离表、商务条款响应及偏离表及投标说明</w:t>
      </w:r>
    </w:p>
    <w:p>
      <w:pPr>
        <w:pageBreakBefore w:val="0"/>
        <w:kinsoku/>
        <w:wordWrap/>
        <w:overflowPunct/>
        <w:topLinePunct w:val="0"/>
        <w:autoSpaceDE w:val="0"/>
        <w:autoSpaceDN w:val="0"/>
        <w:bidi w:val="0"/>
        <w:adjustRightInd w:val="0"/>
        <w:spacing w:line="360" w:lineRule="auto"/>
        <w:ind w:firstLine="480" w:firstLineChars="200"/>
        <w:rPr>
          <w:color w:val="000000"/>
          <w:sz w:val="24"/>
          <w:szCs w:val="24"/>
          <w:lang w:val="zh-CN"/>
        </w:rPr>
      </w:pPr>
      <w:r>
        <w:rPr>
          <w:bCs/>
          <w:color w:val="000000"/>
          <w:sz w:val="24"/>
          <w:szCs w:val="24"/>
          <w:lang w:val="zh-CN"/>
        </w:rPr>
        <w:t>1</w:t>
      </w:r>
      <w:r>
        <w:rPr>
          <w:rFonts w:hint="eastAsia"/>
          <w:bCs/>
          <w:color w:val="000000"/>
          <w:sz w:val="24"/>
          <w:szCs w:val="24"/>
          <w:lang w:val="zh-CN"/>
        </w:rPr>
        <w:t>4</w:t>
      </w:r>
      <w:r>
        <w:rPr>
          <w:bCs/>
          <w:color w:val="000000"/>
          <w:sz w:val="24"/>
          <w:szCs w:val="24"/>
          <w:lang w:val="zh-CN"/>
        </w:rPr>
        <w:t>.1</w:t>
      </w:r>
      <w:r>
        <w:rPr>
          <w:color w:val="000000"/>
          <w:sz w:val="24"/>
          <w:szCs w:val="24"/>
          <w:lang w:val="zh-CN"/>
        </w:rPr>
        <w:t xml:space="preserve"> </w:t>
      </w:r>
      <w:r>
        <w:rPr>
          <w:rFonts w:hint="eastAsia"/>
          <w:color w:val="000000"/>
          <w:sz w:val="24"/>
          <w:szCs w:val="24"/>
          <w:lang w:val="zh-CN"/>
        </w:rPr>
        <w:t>对招标文件中的技术与商务条款要求逐项作出响应或偏离，并说明原因；</w:t>
      </w:r>
    </w:p>
    <w:p>
      <w:pPr>
        <w:pageBreakBefore w:val="0"/>
        <w:tabs>
          <w:tab w:val="left" w:pos="1035"/>
        </w:tabs>
        <w:kinsoku/>
        <w:wordWrap/>
        <w:overflowPunct/>
        <w:topLinePunct w:val="0"/>
        <w:autoSpaceDE w:val="0"/>
        <w:autoSpaceDN w:val="0"/>
        <w:bidi w:val="0"/>
        <w:adjustRightInd w:val="0"/>
        <w:spacing w:line="360" w:lineRule="auto"/>
        <w:ind w:firstLine="480" w:firstLineChars="200"/>
        <w:rPr>
          <w:color w:val="000000"/>
          <w:sz w:val="24"/>
          <w:szCs w:val="24"/>
          <w:lang w:val="zh-CN"/>
        </w:rPr>
      </w:pPr>
      <w:r>
        <w:rPr>
          <w:rFonts w:hint="eastAsia"/>
          <w:color w:val="000000"/>
          <w:sz w:val="24"/>
          <w:szCs w:val="24"/>
          <w:lang w:val="zh-CN"/>
        </w:rPr>
        <w:t>14.2 提供参加本项目类似案例简介；</w:t>
      </w:r>
    </w:p>
    <w:p>
      <w:pPr>
        <w:pageBreakBefore w:val="0"/>
        <w:tabs>
          <w:tab w:val="left" w:pos="1035"/>
        </w:tabs>
        <w:kinsoku/>
        <w:wordWrap/>
        <w:overflowPunct/>
        <w:topLinePunct w:val="0"/>
        <w:autoSpaceDE w:val="0"/>
        <w:autoSpaceDN w:val="0"/>
        <w:bidi w:val="0"/>
        <w:adjustRightInd w:val="0"/>
        <w:spacing w:line="360" w:lineRule="auto"/>
        <w:ind w:firstLine="480" w:firstLineChars="200"/>
        <w:rPr>
          <w:color w:val="000000"/>
          <w:sz w:val="24"/>
          <w:szCs w:val="24"/>
          <w:lang w:val="zh-CN"/>
        </w:rPr>
      </w:pPr>
      <w:r>
        <w:rPr>
          <w:rFonts w:hint="eastAsia"/>
          <w:color w:val="000000"/>
          <w:sz w:val="24"/>
          <w:szCs w:val="24"/>
          <w:lang w:val="zh-CN"/>
        </w:rPr>
        <w:t>14.3 详细阐述所投本项目的主要组成部分、实现思路及关键技术；</w:t>
      </w:r>
    </w:p>
    <w:p>
      <w:pPr>
        <w:pageBreakBefore w:val="0"/>
        <w:tabs>
          <w:tab w:val="left" w:pos="1035"/>
        </w:tabs>
        <w:kinsoku/>
        <w:wordWrap/>
        <w:overflowPunct/>
        <w:topLinePunct w:val="0"/>
        <w:autoSpaceDE w:val="0"/>
        <w:autoSpaceDN w:val="0"/>
        <w:bidi w:val="0"/>
        <w:adjustRightInd w:val="0"/>
        <w:spacing w:line="360" w:lineRule="auto"/>
        <w:ind w:firstLine="480" w:firstLineChars="200"/>
        <w:rPr>
          <w:color w:val="000000"/>
          <w:sz w:val="24"/>
          <w:szCs w:val="24"/>
          <w:lang w:val="zh-CN"/>
        </w:rPr>
      </w:pPr>
      <w:r>
        <w:rPr>
          <w:rFonts w:hint="eastAsia"/>
          <w:color w:val="000000"/>
          <w:sz w:val="24"/>
          <w:szCs w:val="24"/>
          <w:lang w:val="zh-CN"/>
        </w:rPr>
        <w:t>14.4 投标人认为需要的其他技术文件或说明。</w:t>
      </w:r>
    </w:p>
    <w:p>
      <w:pPr>
        <w:pageBreakBefore w:val="0"/>
        <w:widowControl/>
        <w:shd w:val="clear" w:color="auto" w:fill="FFFFFF"/>
        <w:kinsoku/>
        <w:wordWrap/>
        <w:overflowPunct/>
        <w:topLinePunct w:val="0"/>
        <w:bidi w:val="0"/>
        <w:spacing w:line="360" w:lineRule="auto"/>
        <w:ind w:firstLine="482" w:firstLineChars="200"/>
        <w:rPr>
          <w:b/>
          <w:sz w:val="24"/>
          <w:szCs w:val="24"/>
        </w:rPr>
      </w:pPr>
      <w:r>
        <w:rPr>
          <w:rFonts w:hint="eastAsia"/>
          <w:b/>
          <w:sz w:val="24"/>
          <w:szCs w:val="24"/>
        </w:rPr>
        <w:t>15.服务承诺及售后服务机构、人员的情况介绍</w:t>
      </w:r>
    </w:p>
    <w:p>
      <w:pPr>
        <w:pageBreakBefore w:val="0"/>
        <w:tabs>
          <w:tab w:val="left" w:pos="1035"/>
        </w:tabs>
        <w:kinsoku/>
        <w:wordWrap/>
        <w:overflowPunct/>
        <w:topLinePunct w:val="0"/>
        <w:autoSpaceDE w:val="0"/>
        <w:autoSpaceDN w:val="0"/>
        <w:bidi w:val="0"/>
        <w:adjustRightInd w:val="0"/>
        <w:spacing w:line="360" w:lineRule="auto"/>
        <w:ind w:firstLine="480" w:firstLineChars="200"/>
        <w:rPr>
          <w:color w:val="000000"/>
          <w:sz w:val="24"/>
          <w:szCs w:val="24"/>
          <w:lang w:val="zh-CN"/>
        </w:rPr>
      </w:pPr>
      <w:r>
        <w:rPr>
          <w:rFonts w:hint="eastAsia"/>
          <w:bCs/>
          <w:color w:val="000000"/>
          <w:sz w:val="24"/>
          <w:szCs w:val="24"/>
        </w:rPr>
        <w:t>15</w:t>
      </w:r>
      <w:r>
        <w:rPr>
          <w:bCs/>
          <w:color w:val="000000"/>
          <w:sz w:val="24"/>
          <w:szCs w:val="24"/>
          <w:lang w:val="zh-CN"/>
        </w:rPr>
        <w:t>.1</w:t>
      </w:r>
      <w:r>
        <w:rPr>
          <w:rFonts w:hint="eastAsia"/>
          <w:color w:val="000000"/>
          <w:sz w:val="24"/>
          <w:szCs w:val="24"/>
        </w:rPr>
        <w:t>投标人的服务承诺应按不低于招标文件中商务要求的标准。</w:t>
      </w:r>
    </w:p>
    <w:p>
      <w:pPr>
        <w:pageBreakBefore w:val="0"/>
        <w:kinsoku/>
        <w:wordWrap/>
        <w:overflowPunct/>
        <w:topLinePunct w:val="0"/>
        <w:bidi w:val="0"/>
        <w:spacing w:line="360" w:lineRule="auto"/>
        <w:ind w:firstLine="480" w:firstLineChars="200"/>
        <w:rPr>
          <w:color w:val="000000"/>
          <w:sz w:val="24"/>
          <w:szCs w:val="24"/>
        </w:rPr>
      </w:pPr>
      <w:r>
        <w:rPr>
          <w:rFonts w:hint="eastAsia"/>
          <w:bCs/>
          <w:color w:val="000000"/>
          <w:sz w:val="24"/>
          <w:szCs w:val="24"/>
        </w:rPr>
        <w:t>15</w:t>
      </w:r>
      <w:r>
        <w:rPr>
          <w:bCs/>
          <w:color w:val="000000"/>
          <w:sz w:val="24"/>
          <w:szCs w:val="24"/>
          <w:lang w:val="zh-CN"/>
        </w:rPr>
        <w:t>.</w:t>
      </w:r>
      <w:r>
        <w:rPr>
          <w:rFonts w:hint="eastAsia"/>
          <w:bCs/>
          <w:color w:val="000000"/>
          <w:sz w:val="24"/>
          <w:szCs w:val="24"/>
          <w:lang w:val="zh-CN"/>
        </w:rPr>
        <w:t>2</w:t>
      </w:r>
      <w:r>
        <w:rPr>
          <w:rFonts w:hint="eastAsia"/>
          <w:color w:val="000000"/>
          <w:sz w:val="24"/>
          <w:szCs w:val="24"/>
        </w:rPr>
        <w:t>提供投标人有关售后服务的管理制度、售后服务机构的分布情况、售后服务人员的数量、素质、技术水平及售后服务的反应能力。</w:t>
      </w:r>
    </w:p>
    <w:p>
      <w:pPr>
        <w:pageBreakBefore w:val="0"/>
        <w:widowControl/>
        <w:shd w:val="clear" w:color="auto" w:fill="FFFFFF"/>
        <w:kinsoku/>
        <w:wordWrap/>
        <w:overflowPunct/>
        <w:topLinePunct w:val="0"/>
        <w:bidi w:val="0"/>
        <w:spacing w:line="360" w:lineRule="auto"/>
        <w:ind w:firstLine="482" w:firstLineChars="200"/>
        <w:rPr>
          <w:b/>
          <w:sz w:val="24"/>
          <w:szCs w:val="24"/>
        </w:rPr>
      </w:pPr>
      <w:bookmarkStart w:id="63" w:name="_Toc14577359"/>
      <w:bookmarkStart w:id="64" w:name="_Toc49090510"/>
      <w:r>
        <w:rPr>
          <w:rFonts w:hint="eastAsia"/>
          <w:b/>
          <w:sz w:val="24"/>
          <w:szCs w:val="24"/>
        </w:rPr>
        <w:t>16.投标函和开标一览表</w:t>
      </w:r>
    </w:p>
    <w:p>
      <w:pPr>
        <w:pageBreakBefore w:val="0"/>
        <w:kinsoku/>
        <w:wordWrap/>
        <w:overflowPunct/>
        <w:topLinePunct w:val="0"/>
        <w:bidi w:val="0"/>
        <w:spacing w:line="360" w:lineRule="auto"/>
        <w:ind w:firstLine="480" w:firstLineChars="200"/>
        <w:rPr>
          <w:color w:val="000000"/>
          <w:sz w:val="24"/>
          <w:szCs w:val="24"/>
        </w:rPr>
      </w:pPr>
      <w:r>
        <w:rPr>
          <w:rFonts w:hint="eastAsia"/>
          <w:bCs/>
          <w:color w:val="000000"/>
          <w:sz w:val="24"/>
          <w:szCs w:val="24"/>
        </w:rPr>
        <w:t>16.1</w:t>
      </w:r>
      <w:r>
        <w:rPr>
          <w:rFonts w:hint="eastAsia"/>
          <w:color w:val="000000"/>
          <w:sz w:val="24"/>
          <w:szCs w:val="24"/>
        </w:rPr>
        <w:t xml:space="preserve"> 投标人应按照招标文件中提供的格式完整、正确填写投标函、开标一览表。</w:t>
      </w:r>
    </w:p>
    <w:p>
      <w:pPr>
        <w:pageBreakBefore w:val="0"/>
        <w:kinsoku/>
        <w:wordWrap/>
        <w:overflowPunct/>
        <w:topLinePunct w:val="0"/>
        <w:bidi w:val="0"/>
        <w:spacing w:line="360" w:lineRule="auto"/>
        <w:ind w:firstLine="480" w:firstLineChars="200"/>
        <w:rPr>
          <w:color w:val="000000"/>
          <w:sz w:val="24"/>
          <w:szCs w:val="24"/>
        </w:rPr>
      </w:pPr>
      <w:r>
        <w:rPr>
          <w:rFonts w:hint="eastAsia"/>
          <w:bCs/>
          <w:color w:val="000000"/>
          <w:sz w:val="24"/>
          <w:szCs w:val="24"/>
        </w:rPr>
        <w:t>16.2</w:t>
      </w:r>
      <w:r>
        <w:rPr>
          <w:rFonts w:hint="eastAsia"/>
          <w:color w:val="000000"/>
          <w:sz w:val="24"/>
          <w:szCs w:val="24"/>
        </w:rPr>
        <w:t xml:space="preserve"> </w:t>
      </w:r>
      <w:r>
        <w:rPr>
          <w:rFonts w:hint="eastAsia"/>
          <w:bCs/>
          <w:color w:val="000000"/>
          <w:sz w:val="24"/>
          <w:szCs w:val="24"/>
        </w:rPr>
        <w:t>开标一览表中的价格应与投标文件中投标配置与分项报价表中的价格（如有）一致，如不一致，</w:t>
      </w:r>
      <w:r>
        <w:rPr>
          <w:rFonts w:hint="eastAsia"/>
          <w:color w:val="000000"/>
          <w:sz w:val="24"/>
          <w:szCs w:val="24"/>
        </w:rPr>
        <w:t>不作为无效投标处理</w:t>
      </w:r>
      <w:r>
        <w:rPr>
          <w:rFonts w:hint="eastAsia"/>
          <w:bCs/>
          <w:color w:val="000000"/>
          <w:sz w:val="24"/>
          <w:szCs w:val="24"/>
        </w:rPr>
        <w:t>，但评标时按开标一览表中价格为准</w:t>
      </w:r>
      <w:r>
        <w:rPr>
          <w:rFonts w:hint="eastAsia"/>
          <w:b/>
          <w:bCs/>
          <w:color w:val="000000"/>
          <w:sz w:val="24"/>
          <w:szCs w:val="24"/>
        </w:rPr>
        <w:t>。</w:t>
      </w:r>
    </w:p>
    <w:bookmarkEnd w:id="63"/>
    <w:bookmarkEnd w:id="64"/>
    <w:p>
      <w:pPr>
        <w:pageBreakBefore w:val="0"/>
        <w:widowControl/>
        <w:shd w:val="clear" w:color="auto" w:fill="FFFFFF"/>
        <w:kinsoku/>
        <w:wordWrap/>
        <w:overflowPunct/>
        <w:topLinePunct w:val="0"/>
        <w:bidi w:val="0"/>
        <w:spacing w:line="360" w:lineRule="auto"/>
        <w:ind w:firstLine="482" w:firstLineChars="200"/>
        <w:rPr>
          <w:b/>
          <w:sz w:val="24"/>
          <w:szCs w:val="24"/>
        </w:rPr>
      </w:pPr>
      <w:bookmarkStart w:id="65" w:name="_Hlt26954734"/>
      <w:bookmarkEnd w:id="65"/>
      <w:bookmarkStart w:id="66" w:name="_Hlt26954850"/>
      <w:bookmarkEnd w:id="66"/>
      <w:bookmarkStart w:id="67" w:name="_Hlt26670489"/>
      <w:bookmarkEnd w:id="67"/>
      <w:bookmarkStart w:id="68" w:name="_Toc49090511"/>
      <w:bookmarkStart w:id="69" w:name="_Toc14577360"/>
      <w:r>
        <w:rPr>
          <w:rFonts w:hint="eastAsia"/>
          <w:b/>
          <w:sz w:val="24"/>
          <w:szCs w:val="24"/>
        </w:rPr>
        <w:t>17.投标有效期</w:t>
      </w:r>
      <w:bookmarkEnd w:id="68"/>
      <w:bookmarkEnd w:id="69"/>
    </w:p>
    <w:p>
      <w:pPr>
        <w:pageBreakBefore w:val="0"/>
        <w:kinsoku/>
        <w:wordWrap/>
        <w:overflowPunct/>
        <w:topLinePunct w:val="0"/>
        <w:bidi w:val="0"/>
        <w:spacing w:line="360" w:lineRule="auto"/>
        <w:ind w:firstLine="480" w:firstLineChars="200"/>
        <w:rPr>
          <w:bCs/>
          <w:color w:val="000000"/>
          <w:sz w:val="24"/>
          <w:szCs w:val="24"/>
        </w:rPr>
      </w:pPr>
      <w:r>
        <w:rPr>
          <w:rFonts w:hint="eastAsia"/>
          <w:color w:val="000000"/>
          <w:sz w:val="24"/>
          <w:szCs w:val="24"/>
        </w:rPr>
        <w:t>17.1</w:t>
      </w:r>
      <w:r>
        <w:rPr>
          <w:rFonts w:hint="eastAsia"/>
          <w:bCs/>
          <w:color w:val="000000"/>
          <w:sz w:val="24"/>
          <w:szCs w:val="24"/>
        </w:rPr>
        <w:t xml:space="preserve"> 投标有效期为开标之日后六十（60）天。投标有效期比规定短的将被视为非响应性投标而予以拒绝。</w:t>
      </w:r>
    </w:p>
    <w:p>
      <w:pPr>
        <w:pageBreakBefore w:val="0"/>
        <w:kinsoku/>
        <w:wordWrap/>
        <w:overflowPunct/>
        <w:topLinePunct w:val="0"/>
        <w:bidi w:val="0"/>
        <w:spacing w:line="360" w:lineRule="auto"/>
        <w:ind w:firstLine="480" w:firstLineChars="200"/>
        <w:rPr>
          <w:bCs/>
          <w:color w:val="000000"/>
          <w:sz w:val="24"/>
          <w:szCs w:val="24"/>
        </w:rPr>
      </w:pPr>
      <w:r>
        <w:rPr>
          <w:rFonts w:hint="eastAsia"/>
          <w:color w:val="000000"/>
          <w:sz w:val="24"/>
          <w:szCs w:val="24"/>
        </w:rPr>
        <w:t>17.2</w:t>
      </w:r>
      <w:r>
        <w:rPr>
          <w:rFonts w:hint="eastAsia"/>
          <w:bCs/>
          <w:color w:val="000000"/>
          <w:sz w:val="24"/>
          <w:szCs w:val="24"/>
        </w:rPr>
        <w:t xml:space="preserve"> 在特殊情况下，采购人于原投标有效期满之前，可向投标人提出延长投标有效期的要求。这种要求与答复均应采用书面形式。投标人可以拒绝采购人的这一要求而放弃投标</w:t>
      </w:r>
      <w:r>
        <w:rPr>
          <w:rFonts w:hint="eastAsia"/>
          <w:color w:val="000000"/>
          <w:sz w:val="24"/>
          <w:szCs w:val="24"/>
        </w:rPr>
        <w:t>。</w:t>
      </w:r>
      <w:r>
        <w:rPr>
          <w:rFonts w:hint="eastAsia"/>
          <w:bCs/>
          <w:color w:val="000000"/>
          <w:sz w:val="24"/>
          <w:szCs w:val="24"/>
        </w:rPr>
        <w:t>同意延长投标有效期的投标人既不能要求也不允许修改其投标文件，</w:t>
      </w:r>
      <w:r>
        <w:rPr>
          <w:rFonts w:hint="eastAsia"/>
          <w:color w:val="000000"/>
          <w:sz w:val="24"/>
          <w:szCs w:val="24"/>
        </w:rPr>
        <w:t>同时受投标有效期约束的所有权利与义务均延长至新的有效期</w:t>
      </w:r>
      <w:r>
        <w:rPr>
          <w:rFonts w:hint="eastAsia"/>
          <w:bCs/>
          <w:color w:val="000000"/>
          <w:sz w:val="24"/>
          <w:szCs w:val="24"/>
        </w:rPr>
        <w:t>。</w:t>
      </w:r>
    </w:p>
    <w:p>
      <w:pPr>
        <w:pageBreakBefore w:val="0"/>
        <w:widowControl/>
        <w:shd w:val="clear" w:color="auto" w:fill="FFFFFF"/>
        <w:kinsoku/>
        <w:wordWrap/>
        <w:overflowPunct/>
        <w:topLinePunct w:val="0"/>
        <w:bidi w:val="0"/>
        <w:spacing w:line="360" w:lineRule="auto"/>
        <w:ind w:firstLine="482" w:firstLineChars="200"/>
        <w:rPr>
          <w:b/>
          <w:sz w:val="24"/>
          <w:szCs w:val="24"/>
        </w:rPr>
      </w:pPr>
      <w:bookmarkStart w:id="70" w:name="_Hlt26954852"/>
      <w:bookmarkEnd w:id="70"/>
      <w:bookmarkStart w:id="71" w:name="_Hlt26954739"/>
      <w:bookmarkEnd w:id="71"/>
      <w:bookmarkStart w:id="72" w:name="_Toc14577361"/>
      <w:bookmarkStart w:id="73" w:name="_Toc49090512"/>
      <w:r>
        <w:rPr>
          <w:rFonts w:hint="eastAsia"/>
          <w:b/>
          <w:sz w:val="24"/>
          <w:szCs w:val="24"/>
        </w:rPr>
        <w:t>18.投标文件份数和签署</w:t>
      </w:r>
      <w:bookmarkEnd w:id="72"/>
      <w:bookmarkEnd w:id="73"/>
    </w:p>
    <w:p>
      <w:pPr>
        <w:pageBreakBefore w:val="0"/>
        <w:kinsoku/>
        <w:wordWrap/>
        <w:overflowPunct/>
        <w:topLinePunct w:val="0"/>
        <w:bidi w:val="0"/>
        <w:spacing w:line="360" w:lineRule="auto"/>
        <w:ind w:firstLine="480" w:firstLineChars="200"/>
        <w:rPr>
          <w:bCs/>
          <w:color w:val="000000"/>
          <w:sz w:val="24"/>
          <w:szCs w:val="24"/>
        </w:rPr>
      </w:pPr>
      <w:bookmarkStart w:id="74" w:name="_Toc120614217"/>
      <w:bookmarkStart w:id="75" w:name="_Toc20823296"/>
      <w:bookmarkStart w:id="76" w:name="_Toc513029224"/>
      <w:bookmarkStart w:id="77" w:name="_Toc16938540"/>
      <w:r>
        <w:rPr>
          <w:rFonts w:hint="eastAsia"/>
          <w:color w:val="000000"/>
          <w:sz w:val="24"/>
          <w:szCs w:val="24"/>
        </w:rPr>
        <w:t>18.1</w:t>
      </w:r>
      <w:r>
        <w:rPr>
          <w:rFonts w:hint="eastAsia"/>
          <w:b/>
          <w:color w:val="000000"/>
          <w:sz w:val="24"/>
          <w:szCs w:val="24"/>
        </w:rPr>
        <w:t xml:space="preserve"> </w:t>
      </w:r>
      <w:r>
        <w:rPr>
          <w:rFonts w:hint="eastAsia"/>
          <w:bCs/>
          <w:color w:val="000000"/>
          <w:sz w:val="24"/>
          <w:szCs w:val="24"/>
        </w:rPr>
        <w:t>投标人应仔细阅读招标文件的所有内容，按招标文件的要求提供投标文件，并保证所提供的全部资料的真实性，以使其投标对招标文件作出实质性响应，否则，其投标可能被拒绝。</w:t>
      </w:r>
    </w:p>
    <w:p>
      <w:pPr>
        <w:pStyle w:val="53"/>
        <w:pageBreakBefore w:val="0"/>
        <w:kinsoku/>
        <w:wordWrap/>
        <w:overflowPunct/>
        <w:topLinePunct w:val="0"/>
        <w:bidi w:val="0"/>
        <w:spacing w:line="360" w:lineRule="auto"/>
        <w:rPr>
          <w:rFonts w:ascii="Times New Roman" w:hAnsi="Times New Roman"/>
          <w:bCs/>
          <w:color w:val="000000"/>
          <w:kern w:val="2"/>
          <w:szCs w:val="24"/>
        </w:rPr>
      </w:pPr>
      <w:r>
        <w:rPr>
          <w:rFonts w:hint="eastAsia" w:ascii="Times New Roman" w:hAnsi="Times New Roman"/>
          <w:bCs/>
          <w:color w:val="000000"/>
          <w:kern w:val="2"/>
          <w:szCs w:val="24"/>
        </w:rPr>
        <w:t>18.2投标人应严格按照招标文件要求准备投标文件，投标文件正本一份，副本四份。每份投标文件须清楚地标明“正本”或“副本”字样。一旦正本和副本不符，以正本为准。</w:t>
      </w:r>
    </w:p>
    <w:p>
      <w:pPr>
        <w:pageBreakBefore w:val="0"/>
        <w:kinsoku/>
        <w:wordWrap/>
        <w:overflowPunct/>
        <w:topLinePunct w:val="0"/>
        <w:bidi w:val="0"/>
        <w:spacing w:line="360" w:lineRule="auto"/>
        <w:ind w:firstLine="480" w:firstLineChars="200"/>
        <w:rPr>
          <w:bCs/>
          <w:color w:val="000000"/>
          <w:sz w:val="24"/>
          <w:szCs w:val="24"/>
        </w:rPr>
      </w:pPr>
      <w:r>
        <w:rPr>
          <w:rFonts w:hint="eastAsia"/>
          <w:color w:val="000000"/>
          <w:sz w:val="24"/>
          <w:szCs w:val="24"/>
        </w:rPr>
        <w:t>18.</w:t>
      </w:r>
      <w:r>
        <w:rPr>
          <w:rFonts w:hint="eastAsia" w:cs="宋体"/>
          <w:bCs/>
          <w:color w:val="000000"/>
          <w:sz w:val="24"/>
          <w:szCs w:val="24"/>
        </w:rPr>
        <w:t>3投标文件须经法</w:t>
      </w:r>
      <w:r>
        <w:rPr>
          <w:rFonts w:hint="eastAsia"/>
          <w:color w:val="000000"/>
          <w:sz w:val="24"/>
          <w:szCs w:val="24"/>
        </w:rPr>
        <w:t>定代表人或授权委托人（被授权人）签署和加盖投标人公章。本采购文件所表述（指定）的公章是指法定名称章，不包括合同专用章、业务专用章等印章。</w:t>
      </w:r>
    </w:p>
    <w:p>
      <w:pPr>
        <w:pageBreakBefore w:val="0"/>
        <w:kinsoku/>
        <w:wordWrap/>
        <w:overflowPunct/>
        <w:topLinePunct w:val="0"/>
        <w:bidi w:val="0"/>
        <w:spacing w:line="360" w:lineRule="auto"/>
        <w:ind w:firstLine="480" w:firstLineChars="200"/>
        <w:rPr>
          <w:bCs/>
          <w:color w:val="000000"/>
          <w:sz w:val="24"/>
          <w:szCs w:val="24"/>
        </w:rPr>
      </w:pPr>
      <w:r>
        <w:rPr>
          <w:rFonts w:hint="eastAsia"/>
          <w:color w:val="000000"/>
          <w:sz w:val="24"/>
          <w:szCs w:val="24"/>
        </w:rPr>
        <w:t>18.4</w:t>
      </w:r>
      <w:r>
        <w:rPr>
          <w:rFonts w:hint="eastAsia"/>
          <w:bCs/>
          <w:color w:val="000000"/>
          <w:sz w:val="24"/>
          <w:szCs w:val="24"/>
        </w:rPr>
        <w:t xml:space="preserve"> 除投标人对错处做必要修改外，投标文件不得行间插字、涂改或增删。如有修改错漏处，必须由投标文件签署人签字或盖章。</w:t>
      </w:r>
    </w:p>
    <w:p>
      <w:pPr>
        <w:pageBreakBefore w:val="0"/>
        <w:widowControl/>
        <w:shd w:val="clear" w:color="auto" w:fill="FFFFFF"/>
        <w:kinsoku/>
        <w:wordWrap/>
        <w:overflowPunct/>
        <w:topLinePunct w:val="0"/>
        <w:bidi w:val="0"/>
        <w:spacing w:line="360" w:lineRule="auto"/>
        <w:ind w:firstLine="482" w:firstLineChars="200"/>
        <w:rPr>
          <w:b/>
          <w:sz w:val="24"/>
          <w:szCs w:val="24"/>
        </w:rPr>
      </w:pPr>
      <w:r>
        <w:rPr>
          <w:rFonts w:hint="eastAsia"/>
          <w:b/>
          <w:sz w:val="24"/>
          <w:szCs w:val="24"/>
        </w:rPr>
        <w:t>四、投标文件的递交</w:t>
      </w:r>
      <w:bookmarkEnd w:id="74"/>
      <w:bookmarkEnd w:id="75"/>
      <w:bookmarkEnd w:id="76"/>
      <w:bookmarkEnd w:id="77"/>
    </w:p>
    <w:p>
      <w:pPr>
        <w:pageBreakBefore w:val="0"/>
        <w:widowControl/>
        <w:shd w:val="clear" w:color="auto" w:fill="FFFFFF"/>
        <w:kinsoku/>
        <w:wordWrap/>
        <w:overflowPunct/>
        <w:topLinePunct w:val="0"/>
        <w:bidi w:val="0"/>
        <w:spacing w:line="360" w:lineRule="auto"/>
        <w:ind w:firstLine="482" w:firstLineChars="200"/>
        <w:rPr>
          <w:b/>
          <w:sz w:val="24"/>
          <w:szCs w:val="24"/>
        </w:rPr>
      </w:pPr>
      <w:bookmarkStart w:id="78" w:name="_Toc16938541"/>
      <w:bookmarkStart w:id="79" w:name="_Toc20823297"/>
      <w:bookmarkStart w:id="80" w:name="_Toc462564084"/>
      <w:bookmarkStart w:id="81" w:name="_Toc513029225"/>
      <w:bookmarkStart w:id="82" w:name="_Toc513029226"/>
      <w:bookmarkStart w:id="83" w:name="_Toc16938542"/>
      <w:bookmarkStart w:id="84" w:name="_Toc20823298"/>
      <w:r>
        <w:rPr>
          <w:rFonts w:hint="eastAsia"/>
          <w:b/>
          <w:sz w:val="24"/>
          <w:szCs w:val="24"/>
        </w:rPr>
        <w:t>19.</w:t>
      </w:r>
      <w:bookmarkEnd w:id="78"/>
      <w:bookmarkEnd w:id="79"/>
      <w:bookmarkEnd w:id="80"/>
      <w:bookmarkEnd w:id="81"/>
      <w:r>
        <w:rPr>
          <w:rFonts w:hint="eastAsia"/>
          <w:b/>
          <w:sz w:val="24"/>
          <w:szCs w:val="24"/>
        </w:rPr>
        <w:t>投标文件的递交</w:t>
      </w:r>
    </w:p>
    <w:p>
      <w:pPr>
        <w:pageBreakBefore w:val="0"/>
        <w:kinsoku/>
        <w:wordWrap/>
        <w:overflowPunct/>
        <w:topLinePunct w:val="0"/>
        <w:bidi w:val="0"/>
        <w:spacing w:line="360" w:lineRule="auto"/>
        <w:ind w:firstLine="480" w:firstLineChars="200"/>
        <w:rPr>
          <w:bCs/>
          <w:color w:val="000000"/>
          <w:sz w:val="24"/>
          <w:szCs w:val="24"/>
        </w:rPr>
      </w:pPr>
      <w:r>
        <w:rPr>
          <w:rFonts w:hint="eastAsia"/>
          <w:color w:val="000000"/>
          <w:sz w:val="24"/>
          <w:szCs w:val="24"/>
        </w:rPr>
        <w:t>19.1</w:t>
      </w:r>
      <w:r>
        <w:rPr>
          <w:rFonts w:hint="eastAsia"/>
          <w:bCs/>
          <w:color w:val="000000"/>
          <w:sz w:val="24"/>
          <w:szCs w:val="24"/>
        </w:rPr>
        <w:t>投标人应将投标文件正本和所有副本密封，不论投标人中标与否，投标文件均不退回。</w:t>
      </w:r>
    </w:p>
    <w:p>
      <w:pPr>
        <w:pageBreakBefore w:val="0"/>
        <w:kinsoku/>
        <w:wordWrap/>
        <w:overflowPunct/>
        <w:topLinePunct w:val="0"/>
        <w:bidi w:val="0"/>
        <w:spacing w:line="360" w:lineRule="auto"/>
        <w:ind w:firstLine="480" w:firstLineChars="200"/>
        <w:rPr>
          <w:bCs/>
          <w:color w:val="000000"/>
          <w:sz w:val="24"/>
          <w:szCs w:val="24"/>
        </w:rPr>
      </w:pPr>
      <w:r>
        <w:rPr>
          <w:rFonts w:hint="eastAsia"/>
          <w:color w:val="000000"/>
          <w:sz w:val="24"/>
          <w:szCs w:val="24"/>
        </w:rPr>
        <w:t>19.2</w:t>
      </w:r>
      <w:r>
        <w:rPr>
          <w:rFonts w:hint="eastAsia"/>
          <w:bCs/>
          <w:color w:val="000000"/>
          <w:sz w:val="24"/>
          <w:szCs w:val="24"/>
        </w:rPr>
        <w:t>密封的投标文件应：</w:t>
      </w:r>
    </w:p>
    <w:p>
      <w:pPr>
        <w:pageBreakBefore w:val="0"/>
        <w:kinsoku/>
        <w:wordWrap/>
        <w:overflowPunct/>
        <w:topLinePunct w:val="0"/>
        <w:bidi w:val="0"/>
        <w:spacing w:line="360" w:lineRule="auto"/>
        <w:ind w:firstLine="480" w:firstLineChars="200"/>
        <w:rPr>
          <w:bCs/>
          <w:color w:val="000000"/>
          <w:sz w:val="24"/>
          <w:szCs w:val="24"/>
        </w:rPr>
      </w:pPr>
      <w:r>
        <w:rPr>
          <w:rFonts w:hint="eastAsia"/>
          <w:bCs/>
          <w:color w:val="000000"/>
          <w:sz w:val="24"/>
          <w:szCs w:val="24"/>
        </w:rPr>
        <w:t>19.2.1注明投标人名称，如因标注不清而产生的后果由投标人自负。按招标公告中注明的地址送达；</w:t>
      </w:r>
    </w:p>
    <w:p>
      <w:pPr>
        <w:pageBreakBefore w:val="0"/>
        <w:kinsoku/>
        <w:wordWrap/>
        <w:overflowPunct/>
        <w:topLinePunct w:val="0"/>
        <w:bidi w:val="0"/>
        <w:spacing w:line="360" w:lineRule="auto"/>
        <w:ind w:firstLine="480" w:firstLineChars="200"/>
        <w:rPr>
          <w:bCs/>
          <w:color w:val="000000"/>
          <w:sz w:val="24"/>
          <w:szCs w:val="24"/>
        </w:rPr>
      </w:pPr>
      <w:r>
        <w:rPr>
          <w:rFonts w:hint="eastAsia"/>
          <w:bCs/>
          <w:color w:val="000000"/>
          <w:sz w:val="24"/>
          <w:szCs w:val="24"/>
        </w:rPr>
        <w:t>19.2.2注明投标项目名称、标书编号及分包号。</w:t>
      </w:r>
    </w:p>
    <w:p>
      <w:pPr>
        <w:pageBreakBefore w:val="0"/>
        <w:kinsoku/>
        <w:wordWrap/>
        <w:overflowPunct/>
        <w:topLinePunct w:val="0"/>
        <w:bidi w:val="0"/>
        <w:spacing w:line="360" w:lineRule="auto"/>
        <w:ind w:firstLine="480" w:firstLineChars="200"/>
        <w:rPr>
          <w:bCs/>
          <w:color w:val="000000"/>
          <w:sz w:val="24"/>
          <w:szCs w:val="24"/>
        </w:rPr>
      </w:pPr>
      <w:r>
        <w:rPr>
          <w:rFonts w:hint="eastAsia"/>
          <w:color w:val="000000"/>
          <w:sz w:val="24"/>
          <w:szCs w:val="24"/>
        </w:rPr>
        <w:t>19.2.3</w:t>
      </w:r>
      <w:r>
        <w:rPr>
          <w:rFonts w:hint="eastAsia"/>
          <w:bCs/>
          <w:color w:val="000000"/>
          <w:sz w:val="24"/>
          <w:szCs w:val="24"/>
        </w:rPr>
        <w:t>未按要求密封和加写标记，</w:t>
      </w:r>
      <w:r>
        <w:rPr>
          <w:rFonts w:hint="eastAsia"/>
          <w:color w:val="000000"/>
          <w:sz w:val="24"/>
          <w:szCs w:val="24"/>
        </w:rPr>
        <w:t>招标人或招标代理机构</w:t>
      </w:r>
      <w:r>
        <w:rPr>
          <w:rFonts w:hint="eastAsia"/>
          <w:bCs/>
          <w:color w:val="000000"/>
          <w:sz w:val="24"/>
          <w:szCs w:val="24"/>
        </w:rPr>
        <w:t>对误投或过早启封概不负责。对由此造成提前开封的投标文件，</w:t>
      </w:r>
      <w:r>
        <w:rPr>
          <w:rFonts w:hint="eastAsia"/>
          <w:color w:val="000000"/>
          <w:sz w:val="24"/>
          <w:szCs w:val="24"/>
        </w:rPr>
        <w:t>招标人或招标代理机构</w:t>
      </w:r>
      <w:r>
        <w:rPr>
          <w:rFonts w:hint="eastAsia"/>
          <w:bCs/>
          <w:color w:val="000000"/>
          <w:sz w:val="24"/>
          <w:szCs w:val="24"/>
        </w:rPr>
        <w:t>将予以拒绝，作无效投标处理。</w:t>
      </w:r>
    </w:p>
    <w:p>
      <w:pPr>
        <w:pageBreakBefore w:val="0"/>
        <w:widowControl/>
        <w:shd w:val="clear" w:color="auto" w:fill="FFFFFF"/>
        <w:kinsoku/>
        <w:wordWrap/>
        <w:overflowPunct/>
        <w:topLinePunct w:val="0"/>
        <w:bidi w:val="0"/>
        <w:spacing w:line="360" w:lineRule="auto"/>
        <w:ind w:firstLine="482" w:firstLineChars="200"/>
        <w:rPr>
          <w:b/>
          <w:sz w:val="24"/>
          <w:szCs w:val="24"/>
        </w:rPr>
      </w:pPr>
      <w:r>
        <w:rPr>
          <w:rFonts w:hint="eastAsia"/>
          <w:b/>
          <w:sz w:val="24"/>
          <w:szCs w:val="24"/>
        </w:rPr>
        <w:t>20.投标截止日期</w:t>
      </w:r>
      <w:bookmarkEnd w:id="82"/>
      <w:bookmarkEnd w:id="83"/>
      <w:bookmarkEnd w:id="84"/>
    </w:p>
    <w:p>
      <w:pPr>
        <w:pageBreakBefore w:val="0"/>
        <w:kinsoku/>
        <w:wordWrap/>
        <w:overflowPunct/>
        <w:topLinePunct w:val="0"/>
        <w:bidi w:val="0"/>
        <w:spacing w:line="360" w:lineRule="auto"/>
        <w:ind w:firstLine="480" w:firstLineChars="200"/>
        <w:rPr>
          <w:bCs/>
          <w:color w:val="000000"/>
          <w:sz w:val="24"/>
          <w:szCs w:val="24"/>
        </w:rPr>
      </w:pPr>
      <w:bookmarkStart w:id="85" w:name="_Toc513029227"/>
      <w:bookmarkStart w:id="86" w:name="_Toc20823299"/>
      <w:bookmarkStart w:id="87" w:name="_Toc16938543"/>
      <w:r>
        <w:rPr>
          <w:rFonts w:hint="eastAsia"/>
          <w:color w:val="000000"/>
          <w:sz w:val="24"/>
          <w:szCs w:val="24"/>
        </w:rPr>
        <w:t>20.1</w:t>
      </w:r>
      <w:r>
        <w:rPr>
          <w:rFonts w:hint="eastAsia"/>
          <w:bCs/>
          <w:color w:val="000000"/>
          <w:sz w:val="24"/>
          <w:szCs w:val="24"/>
        </w:rPr>
        <w:t xml:space="preserve"> 采购人收到投标文件的时间不得迟于招标公告中规定的截止时间。</w:t>
      </w:r>
    </w:p>
    <w:p>
      <w:pPr>
        <w:pageBreakBefore w:val="0"/>
        <w:kinsoku/>
        <w:wordWrap/>
        <w:overflowPunct/>
        <w:topLinePunct w:val="0"/>
        <w:bidi w:val="0"/>
        <w:spacing w:line="360" w:lineRule="auto"/>
        <w:ind w:firstLine="480" w:firstLineChars="200"/>
        <w:rPr>
          <w:bCs/>
          <w:color w:val="000000"/>
          <w:sz w:val="24"/>
          <w:szCs w:val="24"/>
        </w:rPr>
      </w:pPr>
      <w:r>
        <w:rPr>
          <w:rFonts w:hint="eastAsia"/>
          <w:color w:val="000000"/>
          <w:sz w:val="24"/>
          <w:szCs w:val="24"/>
        </w:rPr>
        <w:t>20.2</w:t>
      </w:r>
      <w:r>
        <w:rPr>
          <w:rFonts w:hint="eastAsia"/>
          <w:bCs/>
          <w:color w:val="000000"/>
          <w:sz w:val="24"/>
          <w:szCs w:val="24"/>
        </w:rPr>
        <w:t xml:space="preserve"> 采购人有权通过修改招标文件酌情延长投标截止日期，在此情况下，投标人的所有权利和义务以及投标人受制的截止日期均应以延长后新的截止日期为准。</w:t>
      </w:r>
    </w:p>
    <w:p>
      <w:pPr>
        <w:pageBreakBefore w:val="0"/>
        <w:widowControl/>
        <w:shd w:val="clear" w:color="auto" w:fill="FFFFFF"/>
        <w:kinsoku/>
        <w:wordWrap/>
        <w:overflowPunct/>
        <w:topLinePunct w:val="0"/>
        <w:bidi w:val="0"/>
        <w:spacing w:line="360" w:lineRule="auto"/>
        <w:ind w:firstLine="482" w:firstLineChars="200"/>
        <w:rPr>
          <w:b/>
          <w:sz w:val="24"/>
          <w:szCs w:val="24"/>
        </w:rPr>
      </w:pPr>
      <w:r>
        <w:rPr>
          <w:rFonts w:hint="eastAsia"/>
          <w:b/>
          <w:sz w:val="24"/>
          <w:szCs w:val="24"/>
        </w:rPr>
        <w:t>21.迟交的投标文件</w:t>
      </w:r>
      <w:bookmarkEnd w:id="85"/>
      <w:bookmarkEnd w:id="86"/>
      <w:bookmarkEnd w:id="87"/>
    </w:p>
    <w:p>
      <w:pPr>
        <w:pageBreakBefore w:val="0"/>
        <w:kinsoku/>
        <w:wordWrap/>
        <w:overflowPunct/>
        <w:topLinePunct w:val="0"/>
        <w:bidi w:val="0"/>
        <w:spacing w:line="360" w:lineRule="auto"/>
        <w:ind w:firstLine="480" w:firstLineChars="200"/>
        <w:rPr>
          <w:bCs/>
          <w:color w:val="000000"/>
          <w:sz w:val="24"/>
          <w:szCs w:val="24"/>
        </w:rPr>
      </w:pPr>
      <w:r>
        <w:rPr>
          <w:rFonts w:hint="eastAsia"/>
          <w:color w:val="000000"/>
          <w:sz w:val="24"/>
          <w:szCs w:val="24"/>
        </w:rPr>
        <w:t>21.1</w:t>
      </w:r>
      <w:r>
        <w:rPr>
          <w:rFonts w:hint="eastAsia"/>
          <w:bCs/>
          <w:color w:val="000000"/>
          <w:sz w:val="24"/>
          <w:szCs w:val="24"/>
        </w:rPr>
        <w:t xml:space="preserve"> 采购人拒绝接收在其规定的投标截止时间后递交的任何投标文件。</w:t>
      </w:r>
    </w:p>
    <w:p>
      <w:pPr>
        <w:pageBreakBefore w:val="0"/>
        <w:widowControl/>
        <w:shd w:val="clear" w:color="auto" w:fill="FFFFFF"/>
        <w:kinsoku/>
        <w:wordWrap/>
        <w:overflowPunct/>
        <w:topLinePunct w:val="0"/>
        <w:bidi w:val="0"/>
        <w:spacing w:line="360" w:lineRule="auto"/>
        <w:ind w:firstLine="482" w:firstLineChars="200"/>
        <w:rPr>
          <w:b/>
          <w:sz w:val="24"/>
          <w:szCs w:val="24"/>
        </w:rPr>
      </w:pPr>
      <w:bookmarkStart w:id="88" w:name="_Toc20823300"/>
      <w:bookmarkStart w:id="89" w:name="_Toc16938544"/>
      <w:bookmarkStart w:id="90" w:name="_Toc513029228"/>
      <w:r>
        <w:rPr>
          <w:rFonts w:hint="eastAsia"/>
          <w:b/>
          <w:sz w:val="24"/>
          <w:szCs w:val="24"/>
        </w:rPr>
        <w:t>22.投标文件的修改和撤回</w:t>
      </w:r>
      <w:bookmarkEnd w:id="88"/>
      <w:bookmarkEnd w:id="89"/>
      <w:bookmarkEnd w:id="90"/>
    </w:p>
    <w:p>
      <w:pPr>
        <w:pageBreakBefore w:val="0"/>
        <w:kinsoku/>
        <w:wordWrap/>
        <w:overflowPunct/>
        <w:topLinePunct w:val="0"/>
        <w:bidi w:val="0"/>
        <w:spacing w:line="360" w:lineRule="auto"/>
        <w:ind w:firstLine="480" w:firstLineChars="200"/>
        <w:rPr>
          <w:color w:val="000000"/>
          <w:sz w:val="24"/>
          <w:szCs w:val="24"/>
        </w:rPr>
      </w:pPr>
      <w:bookmarkStart w:id="91" w:name="_Toc16938545"/>
      <w:bookmarkStart w:id="92" w:name="_Toc120614218"/>
      <w:bookmarkStart w:id="93" w:name="_Toc20823301"/>
      <w:bookmarkStart w:id="94" w:name="_Toc513029229"/>
      <w:r>
        <w:rPr>
          <w:rFonts w:hint="eastAsia"/>
          <w:color w:val="000000"/>
          <w:sz w:val="24"/>
          <w:szCs w:val="24"/>
        </w:rPr>
        <w:t>22.1</w:t>
      </w:r>
      <w:r>
        <w:rPr>
          <w:rFonts w:hint="eastAsia"/>
          <w:bCs/>
          <w:color w:val="000000"/>
          <w:sz w:val="24"/>
          <w:szCs w:val="24"/>
        </w:rPr>
        <w:t xml:space="preserve"> 投标人在发送投标文件后，可以修改其投标文件，但这种修改，必须在规定的投标截止时间前，须书面</w:t>
      </w:r>
      <w:r>
        <w:rPr>
          <w:rFonts w:hint="eastAsia"/>
          <w:color w:val="000000"/>
          <w:sz w:val="24"/>
          <w:szCs w:val="24"/>
        </w:rPr>
        <w:t>通知采购人，修改其投标文件重新发送。</w:t>
      </w:r>
    </w:p>
    <w:p>
      <w:pPr>
        <w:pageBreakBefore w:val="0"/>
        <w:kinsoku/>
        <w:wordWrap/>
        <w:overflowPunct/>
        <w:topLinePunct w:val="0"/>
        <w:bidi w:val="0"/>
        <w:spacing w:line="360" w:lineRule="auto"/>
        <w:ind w:firstLine="480" w:firstLineChars="200"/>
        <w:rPr>
          <w:color w:val="000000"/>
          <w:sz w:val="24"/>
          <w:szCs w:val="24"/>
        </w:rPr>
      </w:pPr>
      <w:r>
        <w:rPr>
          <w:rFonts w:hint="eastAsia"/>
          <w:color w:val="000000"/>
          <w:sz w:val="24"/>
          <w:szCs w:val="24"/>
        </w:rPr>
        <w:t>22.2</w:t>
      </w:r>
      <w:r>
        <w:rPr>
          <w:rFonts w:hint="eastAsia"/>
          <w:bCs/>
          <w:color w:val="000000"/>
          <w:sz w:val="24"/>
          <w:szCs w:val="24"/>
        </w:rPr>
        <w:t xml:space="preserve"> 投标人的修改或撤回文件应按规定进行编制、密封、标记和发送，并应在封套上加注“修改”或“撤回”字样。</w:t>
      </w:r>
      <w:r>
        <w:rPr>
          <w:rFonts w:hint="eastAsia"/>
          <w:color w:val="000000"/>
          <w:sz w:val="24"/>
          <w:szCs w:val="24"/>
        </w:rPr>
        <w:t>上述补充或修改若涉及投标报价，必须注明“最后唯一报价”字样，否则将视为有选择的报价。修改文件必须在投标截止时间前送达招标人或招标代理机构。</w:t>
      </w:r>
    </w:p>
    <w:p>
      <w:pPr>
        <w:pageBreakBefore w:val="0"/>
        <w:kinsoku/>
        <w:wordWrap/>
        <w:overflowPunct/>
        <w:topLinePunct w:val="0"/>
        <w:bidi w:val="0"/>
        <w:spacing w:line="360" w:lineRule="auto"/>
        <w:ind w:firstLine="480" w:firstLineChars="200"/>
        <w:rPr>
          <w:color w:val="000000"/>
          <w:sz w:val="24"/>
          <w:szCs w:val="24"/>
        </w:rPr>
      </w:pPr>
      <w:r>
        <w:rPr>
          <w:rFonts w:hint="eastAsia"/>
          <w:color w:val="000000"/>
          <w:sz w:val="24"/>
          <w:szCs w:val="24"/>
        </w:rPr>
        <w:t>22.3</w:t>
      </w:r>
      <w:r>
        <w:rPr>
          <w:rFonts w:hint="eastAsia"/>
          <w:bCs/>
          <w:color w:val="000000"/>
          <w:sz w:val="24"/>
          <w:szCs w:val="24"/>
        </w:rPr>
        <w:t xml:space="preserve"> 在投标截止时间之后，投标人不得对其投标文件作任何修改。</w:t>
      </w:r>
    </w:p>
    <w:p>
      <w:pPr>
        <w:pageBreakBefore w:val="0"/>
        <w:widowControl/>
        <w:shd w:val="clear" w:color="auto" w:fill="FFFFFF"/>
        <w:kinsoku/>
        <w:wordWrap/>
        <w:overflowPunct/>
        <w:topLinePunct w:val="0"/>
        <w:bidi w:val="0"/>
        <w:spacing w:line="360" w:lineRule="auto"/>
        <w:ind w:firstLine="482" w:firstLineChars="200"/>
        <w:rPr>
          <w:b/>
          <w:sz w:val="24"/>
          <w:szCs w:val="24"/>
        </w:rPr>
      </w:pPr>
      <w:r>
        <w:rPr>
          <w:rFonts w:hint="eastAsia"/>
          <w:b/>
          <w:sz w:val="24"/>
          <w:szCs w:val="24"/>
        </w:rPr>
        <w:t>五、开标与评标</w:t>
      </w:r>
      <w:bookmarkEnd w:id="91"/>
      <w:bookmarkEnd w:id="92"/>
      <w:bookmarkEnd w:id="93"/>
      <w:bookmarkEnd w:id="94"/>
    </w:p>
    <w:p>
      <w:pPr>
        <w:pageBreakBefore w:val="0"/>
        <w:widowControl/>
        <w:shd w:val="clear" w:color="auto" w:fill="FFFFFF"/>
        <w:kinsoku/>
        <w:wordWrap/>
        <w:overflowPunct/>
        <w:topLinePunct w:val="0"/>
        <w:bidi w:val="0"/>
        <w:spacing w:line="360" w:lineRule="auto"/>
        <w:ind w:firstLine="482" w:firstLineChars="200"/>
        <w:rPr>
          <w:b/>
          <w:sz w:val="24"/>
          <w:szCs w:val="24"/>
        </w:rPr>
      </w:pPr>
      <w:bookmarkStart w:id="95" w:name="_Toc513029230"/>
      <w:bookmarkStart w:id="96" w:name="_Toc16938546"/>
      <w:bookmarkStart w:id="97" w:name="_Toc20823302"/>
      <w:r>
        <w:rPr>
          <w:rFonts w:hint="eastAsia"/>
          <w:b/>
          <w:sz w:val="24"/>
          <w:szCs w:val="24"/>
        </w:rPr>
        <w:t>23.开标</w:t>
      </w:r>
      <w:bookmarkEnd w:id="95"/>
      <w:bookmarkEnd w:id="96"/>
      <w:bookmarkEnd w:id="97"/>
    </w:p>
    <w:p>
      <w:pPr>
        <w:pageBreakBefore w:val="0"/>
        <w:kinsoku/>
        <w:wordWrap/>
        <w:overflowPunct/>
        <w:topLinePunct w:val="0"/>
        <w:bidi w:val="0"/>
        <w:spacing w:line="360" w:lineRule="auto"/>
        <w:ind w:firstLine="480" w:firstLineChars="200"/>
        <w:rPr>
          <w:color w:val="000000"/>
          <w:sz w:val="24"/>
          <w:szCs w:val="24"/>
        </w:rPr>
      </w:pPr>
      <w:bookmarkStart w:id="98" w:name="_Toc16938547"/>
      <w:bookmarkStart w:id="99" w:name="_Toc20823303"/>
      <w:bookmarkStart w:id="100" w:name="_Toc513029231"/>
      <w:r>
        <w:rPr>
          <w:rFonts w:hint="eastAsia"/>
          <w:color w:val="000000"/>
          <w:sz w:val="24"/>
          <w:szCs w:val="24"/>
        </w:rPr>
        <w:t>23.1</w:t>
      </w:r>
      <w:r>
        <w:rPr>
          <w:rFonts w:hint="eastAsia"/>
          <w:bCs/>
          <w:color w:val="000000"/>
          <w:sz w:val="24"/>
          <w:szCs w:val="24"/>
        </w:rPr>
        <w:t xml:space="preserve"> </w:t>
      </w:r>
      <w:r>
        <w:rPr>
          <w:rFonts w:hint="eastAsia"/>
          <w:color w:val="000000"/>
          <w:sz w:val="24"/>
          <w:szCs w:val="24"/>
        </w:rPr>
        <w:t>招标人或招标代理机构</w:t>
      </w:r>
      <w:r>
        <w:rPr>
          <w:rFonts w:hint="eastAsia"/>
          <w:bCs/>
          <w:color w:val="000000"/>
          <w:sz w:val="24"/>
          <w:szCs w:val="24"/>
        </w:rPr>
        <w:t>将在招标公告中规定的时间和地点组织公开开标</w:t>
      </w:r>
      <w:r>
        <w:rPr>
          <w:rFonts w:hint="eastAsia"/>
          <w:color w:val="000000"/>
          <w:sz w:val="24"/>
          <w:szCs w:val="24"/>
        </w:rPr>
        <w:t>。投标人应委派携带有效证件的代表准时参加，参加开标的代表需签名以证明其出席。</w:t>
      </w:r>
    </w:p>
    <w:p>
      <w:pPr>
        <w:pageBreakBefore w:val="0"/>
        <w:kinsoku/>
        <w:wordWrap/>
        <w:overflowPunct/>
        <w:topLinePunct w:val="0"/>
        <w:bidi w:val="0"/>
        <w:spacing w:line="360" w:lineRule="auto"/>
        <w:ind w:firstLine="480" w:firstLineChars="200"/>
        <w:rPr>
          <w:color w:val="000000"/>
          <w:sz w:val="24"/>
          <w:szCs w:val="24"/>
        </w:rPr>
      </w:pPr>
      <w:r>
        <w:rPr>
          <w:rFonts w:hint="eastAsia"/>
          <w:bCs/>
          <w:color w:val="000000"/>
          <w:sz w:val="24"/>
          <w:szCs w:val="24"/>
        </w:rPr>
        <w:t>23.2</w:t>
      </w:r>
      <w:r>
        <w:rPr>
          <w:rFonts w:hint="eastAsia"/>
          <w:color w:val="000000"/>
          <w:sz w:val="24"/>
          <w:szCs w:val="24"/>
        </w:rPr>
        <w:t>开标仪式由招标人或招标代理机构组织，招标人代表、公证员（必要时）、监管代表、投标人代表等参加。</w:t>
      </w:r>
    </w:p>
    <w:p>
      <w:pPr>
        <w:pageBreakBefore w:val="0"/>
        <w:kinsoku/>
        <w:wordWrap/>
        <w:overflowPunct/>
        <w:topLinePunct w:val="0"/>
        <w:bidi w:val="0"/>
        <w:spacing w:line="360" w:lineRule="auto"/>
        <w:ind w:firstLine="480" w:firstLineChars="200"/>
        <w:rPr>
          <w:bCs/>
          <w:color w:val="000000"/>
          <w:sz w:val="24"/>
          <w:szCs w:val="24"/>
        </w:rPr>
      </w:pPr>
      <w:r>
        <w:rPr>
          <w:rFonts w:hint="eastAsia"/>
          <w:color w:val="000000"/>
          <w:sz w:val="24"/>
          <w:szCs w:val="24"/>
        </w:rPr>
        <w:t>23.3</w:t>
      </w:r>
      <w:r>
        <w:rPr>
          <w:rFonts w:hint="eastAsia"/>
          <w:b/>
          <w:color w:val="000000"/>
          <w:sz w:val="24"/>
          <w:szCs w:val="24"/>
        </w:rPr>
        <w:t xml:space="preserve"> </w:t>
      </w:r>
      <w:r>
        <w:rPr>
          <w:rFonts w:hint="eastAsia"/>
          <w:bCs/>
          <w:color w:val="000000"/>
          <w:sz w:val="24"/>
          <w:szCs w:val="24"/>
        </w:rPr>
        <w:t>按照规定同意撤回的投标将不予开封。</w:t>
      </w:r>
    </w:p>
    <w:p>
      <w:pPr>
        <w:pageBreakBefore w:val="0"/>
        <w:kinsoku/>
        <w:wordWrap/>
        <w:overflowPunct/>
        <w:topLinePunct w:val="0"/>
        <w:bidi w:val="0"/>
        <w:spacing w:line="360" w:lineRule="auto"/>
        <w:ind w:firstLine="480" w:firstLineChars="200"/>
        <w:rPr>
          <w:color w:val="000000"/>
          <w:sz w:val="24"/>
          <w:szCs w:val="24"/>
        </w:rPr>
      </w:pPr>
      <w:r>
        <w:rPr>
          <w:rFonts w:hint="eastAsia"/>
          <w:color w:val="000000"/>
          <w:sz w:val="24"/>
          <w:szCs w:val="24"/>
        </w:rPr>
        <w:t>23.4 开标时请监委或投标人代表查验投标文件密封情况，确认无误后，招标代理机构当众拆封宣读每份投标文件中“开标一览表”的内容，未列入开标一览表的内容一律不在开标时宣读。开标时未宣读的投标报价信息，不得在评标时采用。</w:t>
      </w:r>
    </w:p>
    <w:p>
      <w:pPr>
        <w:pageBreakBefore w:val="0"/>
        <w:kinsoku/>
        <w:wordWrap/>
        <w:overflowPunct/>
        <w:topLinePunct w:val="0"/>
        <w:bidi w:val="0"/>
        <w:spacing w:line="360" w:lineRule="auto"/>
        <w:ind w:firstLine="480" w:firstLineChars="200"/>
        <w:rPr>
          <w:color w:val="000000"/>
          <w:sz w:val="24"/>
          <w:szCs w:val="24"/>
        </w:rPr>
      </w:pPr>
      <w:r>
        <w:rPr>
          <w:rFonts w:hint="eastAsia"/>
          <w:color w:val="000000"/>
          <w:sz w:val="24"/>
          <w:szCs w:val="24"/>
        </w:rPr>
        <w:t>23.5 招标人或招标代理机构将指定专人负责开标记录并存档备查。</w:t>
      </w:r>
    </w:p>
    <w:p>
      <w:pPr>
        <w:pageBreakBefore w:val="0"/>
        <w:kinsoku/>
        <w:wordWrap/>
        <w:overflowPunct/>
        <w:topLinePunct w:val="0"/>
        <w:bidi w:val="0"/>
        <w:spacing w:line="360" w:lineRule="auto"/>
        <w:ind w:firstLine="480" w:firstLineChars="200"/>
        <w:rPr>
          <w:color w:val="FF0000"/>
          <w:sz w:val="24"/>
          <w:szCs w:val="24"/>
        </w:rPr>
      </w:pPr>
      <w:r>
        <w:rPr>
          <w:rFonts w:hint="eastAsia"/>
          <w:color w:val="FF0000"/>
          <w:sz w:val="24"/>
          <w:szCs w:val="24"/>
        </w:rPr>
        <w:t>23.6 投标人在报价时不允许采用选择性报价，否则将被视为无效投标。</w:t>
      </w:r>
    </w:p>
    <w:p>
      <w:pPr>
        <w:pageBreakBefore w:val="0"/>
        <w:widowControl/>
        <w:shd w:val="clear" w:color="auto" w:fill="FFFFFF"/>
        <w:kinsoku/>
        <w:wordWrap/>
        <w:overflowPunct/>
        <w:topLinePunct w:val="0"/>
        <w:bidi w:val="0"/>
        <w:spacing w:line="360" w:lineRule="auto"/>
        <w:ind w:firstLine="482" w:firstLineChars="200"/>
        <w:rPr>
          <w:b/>
          <w:sz w:val="24"/>
          <w:szCs w:val="24"/>
        </w:rPr>
      </w:pPr>
      <w:r>
        <w:rPr>
          <w:rFonts w:hint="eastAsia"/>
          <w:b/>
          <w:sz w:val="24"/>
          <w:szCs w:val="24"/>
        </w:rPr>
        <w:t>24.资格审查</w:t>
      </w:r>
    </w:p>
    <w:p>
      <w:pPr>
        <w:pageBreakBefore w:val="0"/>
        <w:kinsoku/>
        <w:wordWrap/>
        <w:overflowPunct/>
        <w:topLinePunct w:val="0"/>
        <w:bidi w:val="0"/>
        <w:spacing w:line="360" w:lineRule="auto"/>
        <w:ind w:firstLine="480" w:firstLineChars="200"/>
        <w:rPr>
          <w:bCs/>
          <w:color w:val="000000"/>
          <w:sz w:val="24"/>
          <w:szCs w:val="24"/>
        </w:rPr>
      </w:pPr>
      <w:r>
        <w:rPr>
          <w:rFonts w:hint="eastAsia"/>
          <w:color w:val="000000"/>
          <w:sz w:val="24"/>
          <w:szCs w:val="24"/>
        </w:rPr>
        <w:t>24.1</w:t>
      </w:r>
      <w:r>
        <w:rPr>
          <w:rFonts w:hint="eastAsia"/>
          <w:bCs/>
          <w:color w:val="000000"/>
          <w:sz w:val="24"/>
          <w:szCs w:val="24"/>
        </w:rPr>
        <w:t>依据法律法规和招标文件的约定，</w:t>
      </w:r>
      <w:r>
        <w:rPr>
          <w:bCs/>
          <w:color w:val="000000"/>
          <w:sz w:val="24"/>
          <w:szCs w:val="24"/>
        </w:rPr>
        <w:t>开标结束后，</w:t>
      </w:r>
      <w:r>
        <w:rPr>
          <w:rFonts w:hint="eastAsia"/>
          <w:bCs/>
          <w:color w:val="000000"/>
          <w:sz w:val="24"/>
          <w:szCs w:val="24"/>
        </w:rPr>
        <w:t>由采购人对投标文件中的资格证明文件进行审查。资格审查的结论，采购人以书面形式向评委会进行反馈。未通过资格审查的投标人，由采购人告知未通过资格审查的原因。</w:t>
      </w:r>
    </w:p>
    <w:p>
      <w:pPr>
        <w:pageBreakBefore w:val="0"/>
        <w:kinsoku/>
        <w:wordWrap/>
        <w:overflowPunct/>
        <w:topLinePunct w:val="0"/>
        <w:bidi w:val="0"/>
        <w:spacing w:line="360" w:lineRule="auto"/>
        <w:ind w:firstLine="480" w:firstLineChars="200"/>
        <w:rPr>
          <w:bCs/>
          <w:color w:val="000000"/>
          <w:sz w:val="24"/>
          <w:szCs w:val="24"/>
        </w:rPr>
      </w:pPr>
      <w:r>
        <w:rPr>
          <w:rFonts w:hint="eastAsia"/>
          <w:bCs/>
          <w:color w:val="000000"/>
          <w:sz w:val="24"/>
          <w:szCs w:val="24"/>
        </w:rPr>
        <w:t>采购人在进行资格性审查的同时，将在“信用中国”网站（www.creditchina.gov.cn）对投标人是否被列入失信被执行人、重大税收违法案件当事人名单、政府采购严重失信行为记录名单情况进行查询，以确定投标人是否具备投标资格。查询结果将以网页打印的形式留存并归档。</w:t>
      </w:r>
    </w:p>
    <w:p>
      <w:pPr>
        <w:pageBreakBefore w:val="0"/>
        <w:kinsoku/>
        <w:wordWrap/>
        <w:overflowPunct/>
        <w:topLinePunct w:val="0"/>
        <w:bidi w:val="0"/>
        <w:spacing w:line="360" w:lineRule="auto"/>
        <w:ind w:firstLine="480" w:firstLineChars="200"/>
        <w:textAlignment w:val="baseline"/>
        <w:rPr>
          <w:color w:val="000000"/>
          <w:sz w:val="24"/>
          <w:szCs w:val="24"/>
        </w:rPr>
      </w:pPr>
      <w:r>
        <w:rPr>
          <w:color w:val="000000"/>
          <w:sz w:val="24"/>
          <w:szCs w:val="24"/>
        </w:rPr>
        <w:t>合格投标人不足3家的，不得评标。</w:t>
      </w:r>
    </w:p>
    <w:p>
      <w:pPr>
        <w:pageBreakBefore w:val="0"/>
        <w:widowControl/>
        <w:shd w:val="clear" w:color="auto" w:fill="FFFFFF"/>
        <w:kinsoku/>
        <w:wordWrap/>
        <w:overflowPunct/>
        <w:topLinePunct w:val="0"/>
        <w:bidi w:val="0"/>
        <w:spacing w:line="360" w:lineRule="auto"/>
        <w:ind w:firstLine="482" w:firstLineChars="200"/>
        <w:rPr>
          <w:b/>
          <w:sz w:val="24"/>
          <w:szCs w:val="24"/>
        </w:rPr>
      </w:pPr>
      <w:r>
        <w:rPr>
          <w:rFonts w:hint="eastAsia"/>
          <w:b/>
          <w:sz w:val="24"/>
          <w:szCs w:val="24"/>
        </w:rPr>
        <w:t>25、评标委员会</w:t>
      </w:r>
    </w:p>
    <w:p>
      <w:pPr>
        <w:pageBreakBefore w:val="0"/>
        <w:kinsoku/>
        <w:wordWrap/>
        <w:overflowPunct/>
        <w:topLinePunct w:val="0"/>
        <w:bidi w:val="0"/>
        <w:spacing w:line="360" w:lineRule="auto"/>
        <w:ind w:firstLine="480" w:firstLineChars="200"/>
        <w:rPr>
          <w:b/>
          <w:color w:val="000000"/>
          <w:sz w:val="24"/>
          <w:szCs w:val="24"/>
        </w:rPr>
      </w:pPr>
      <w:r>
        <w:rPr>
          <w:rFonts w:hint="eastAsia"/>
          <w:color w:val="000000"/>
          <w:sz w:val="24"/>
          <w:szCs w:val="24"/>
        </w:rPr>
        <w:t>25.1</w:t>
      </w:r>
      <w:r>
        <w:rPr>
          <w:rFonts w:hint="eastAsia"/>
          <w:b/>
          <w:color w:val="000000"/>
          <w:sz w:val="24"/>
          <w:szCs w:val="24"/>
        </w:rPr>
        <w:t xml:space="preserve"> </w:t>
      </w:r>
      <w:r>
        <w:rPr>
          <w:rFonts w:hint="eastAsia"/>
          <w:color w:val="000000"/>
          <w:sz w:val="24"/>
          <w:szCs w:val="24"/>
        </w:rPr>
        <w:t>资格审查通过后，采购人将组织评标委员会（以下简称评委会）进行评标。</w:t>
      </w:r>
    </w:p>
    <w:p>
      <w:pPr>
        <w:pageBreakBefore w:val="0"/>
        <w:kinsoku/>
        <w:wordWrap/>
        <w:overflowPunct/>
        <w:topLinePunct w:val="0"/>
        <w:bidi w:val="0"/>
        <w:spacing w:line="360" w:lineRule="auto"/>
        <w:ind w:firstLine="480" w:firstLineChars="200"/>
        <w:rPr>
          <w:color w:val="000000"/>
          <w:sz w:val="24"/>
          <w:szCs w:val="24"/>
        </w:rPr>
      </w:pPr>
      <w:r>
        <w:rPr>
          <w:rFonts w:hint="eastAsia"/>
          <w:color w:val="000000"/>
          <w:sz w:val="24"/>
          <w:szCs w:val="24"/>
        </w:rPr>
        <w:t>25.2 评委会由采购人代表和评审专家组成，且人员构成符合政府采购有关规定。</w:t>
      </w:r>
    </w:p>
    <w:p>
      <w:pPr>
        <w:pageBreakBefore w:val="0"/>
        <w:kinsoku/>
        <w:wordWrap/>
        <w:overflowPunct/>
        <w:topLinePunct w:val="0"/>
        <w:bidi w:val="0"/>
        <w:spacing w:line="360" w:lineRule="auto"/>
        <w:ind w:firstLine="480" w:firstLineChars="200"/>
        <w:rPr>
          <w:color w:val="000000"/>
          <w:sz w:val="24"/>
          <w:szCs w:val="24"/>
        </w:rPr>
      </w:pPr>
      <w:r>
        <w:rPr>
          <w:rFonts w:hint="eastAsia"/>
          <w:color w:val="000000"/>
          <w:sz w:val="24"/>
          <w:szCs w:val="24"/>
        </w:rPr>
        <w:t>25.3评委会独立工作，负责评审所有投标文件并确定中标候选人。</w:t>
      </w:r>
    </w:p>
    <w:p>
      <w:pPr>
        <w:pageBreakBefore w:val="0"/>
        <w:widowControl/>
        <w:shd w:val="clear" w:color="auto" w:fill="FFFFFF"/>
        <w:kinsoku/>
        <w:wordWrap/>
        <w:overflowPunct/>
        <w:topLinePunct w:val="0"/>
        <w:bidi w:val="0"/>
        <w:spacing w:line="360" w:lineRule="auto"/>
        <w:ind w:firstLine="482" w:firstLineChars="200"/>
        <w:rPr>
          <w:b/>
          <w:sz w:val="24"/>
          <w:szCs w:val="24"/>
        </w:rPr>
      </w:pPr>
      <w:r>
        <w:rPr>
          <w:rFonts w:hint="eastAsia"/>
          <w:b/>
          <w:sz w:val="24"/>
          <w:szCs w:val="24"/>
        </w:rPr>
        <w:t>26.评标过程的保密与公正</w:t>
      </w:r>
    </w:p>
    <w:bookmarkEnd w:id="98"/>
    <w:bookmarkEnd w:id="99"/>
    <w:bookmarkEnd w:id="100"/>
    <w:p>
      <w:pPr>
        <w:pageBreakBefore w:val="0"/>
        <w:kinsoku/>
        <w:wordWrap/>
        <w:overflowPunct/>
        <w:topLinePunct w:val="0"/>
        <w:bidi w:val="0"/>
        <w:spacing w:line="360" w:lineRule="auto"/>
        <w:ind w:firstLine="480" w:firstLineChars="200"/>
        <w:rPr>
          <w:bCs/>
          <w:color w:val="000000"/>
          <w:sz w:val="24"/>
          <w:szCs w:val="24"/>
        </w:rPr>
      </w:pPr>
      <w:r>
        <w:rPr>
          <w:rFonts w:hint="eastAsia"/>
          <w:color w:val="000000"/>
          <w:sz w:val="24"/>
          <w:szCs w:val="24"/>
        </w:rPr>
        <w:t>26.1</w:t>
      </w:r>
      <w:r>
        <w:rPr>
          <w:rFonts w:hint="eastAsia"/>
          <w:bCs/>
          <w:color w:val="000000"/>
          <w:sz w:val="24"/>
          <w:szCs w:val="24"/>
        </w:rPr>
        <w:t>公开开标后，直至签订合同之日止，凡是与审查、澄清、评价和比较投标的有关资料以及授标建议等，采购人、评委、代理机构均不得向投标人或与评标无关的其他人员透露。</w:t>
      </w:r>
    </w:p>
    <w:p>
      <w:pPr>
        <w:pageBreakBefore w:val="0"/>
        <w:kinsoku/>
        <w:wordWrap/>
        <w:overflowPunct/>
        <w:topLinePunct w:val="0"/>
        <w:bidi w:val="0"/>
        <w:spacing w:line="360" w:lineRule="auto"/>
        <w:ind w:firstLine="480" w:firstLineChars="200"/>
        <w:rPr>
          <w:color w:val="000000"/>
          <w:sz w:val="24"/>
          <w:szCs w:val="24"/>
        </w:rPr>
      </w:pPr>
      <w:r>
        <w:rPr>
          <w:rFonts w:hint="eastAsia"/>
          <w:color w:val="000000"/>
          <w:sz w:val="24"/>
          <w:szCs w:val="24"/>
        </w:rPr>
        <w:t>26.2在评标过程中，投标人不得以任何行为影响评标过程，否则其投标文件将被作为无效投标文件。</w:t>
      </w:r>
    </w:p>
    <w:p>
      <w:pPr>
        <w:pageBreakBefore w:val="0"/>
        <w:kinsoku/>
        <w:wordWrap/>
        <w:overflowPunct/>
        <w:topLinePunct w:val="0"/>
        <w:bidi w:val="0"/>
        <w:spacing w:line="360" w:lineRule="auto"/>
        <w:ind w:firstLine="480" w:firstLineChars="200"/>
        <w:rPr>
          <w:color w:val="000000"/>
          <w:sz w:val="24"/>
          <w:szCs w:val="24"/>
        </w:rPr>
      </w:pPr>
      <w:r>
        <w:rPr>
          <w:rFonts w:hint="eastAsia"/>
          <w:color w:val="000000"/>
          <w:sz w:val="24"/>
          <w:szCs w:val="24"/>
        </w:rPr>
        <w:t>26.3在评标期间，采购人将设专门人员与投标人联系。</w:t>
      </w:r>
    </w:p>
    <w:p>
      <w:pPr>
        <w:pageBreakBefore w:val="0"/>
        <w:kinsoku/>
        <w:wordWrap/>
        <w:overflowPunct/>
        <w:topLinePunct w:val="0"/>
        <w:bidi w:val="0"/>
        <w:spacing w:line="360" w:lineRule="auto"/>
        <w:ind w:firstLine="480" w:firstLineChars="200"/>
        <w:rPr>
          <w:color w:val="000000"/>
          <w:sz w:val="24"/>
          <w:szCs w:val="24"/>
        </w:rPr>
      </w:pPr>
      <w:r>
        <w:rPr>
          <w:rFonts w:hint="eastAsia"/>
          <w:color w:val="000000"/>
          <w:sz w:val="24"/>
          <w:szCs w:val="24"/>
        </w:rPr>
        <w:t>26.4 采购人和评标委员会不向落标的投标人解释未中标原因，也不公布评标过程中的相关细节。</w:t>
      </w:r>
    </w:p>
    <w:p>
      <w:pPr>
        <w:pageBreakBefore w:val="0"/>
        <w:kinsoku/>
        <w:wordWrap/>
        <w:overflowPunct/>
        <w:topLinePunct w:val="0"/>
        <w:bidi w:val="0"/>
        <w:spacing w:line="360" w:lineRule="auto"/>
        <w:ind w:firstLine="480" w:firstLineChars="200"/>
        <w:rPr>
          <w:color w:val="000000"/>
          <w:sz w:val="24"/>
          <w:szCs w:val="24"/>
        </w:rPr>
      </w:pPr>
      <w:r>
        <w:rPr>
          <w:rFonts w:hint="eastAsia"/>
          <w:color w:val="000000"/>
          <w:sz w:val="24"/>
          <w:szCs w:val="24"/>
        </w:rPr>
        <w:t>26.5 采用综合评分法的项目，未中标的投标人如需了解自己的评审得分及排序情况，可向采购人或采购代理机构提出申请。</w:t>
      </w:r>
    </w:p>
    <w:p>
      <w:pPr>
        <w:pageBreakBefore w:val="0"/>
        <w:widowControl/>
        <w:shd w:val="clear" w:color="auto" w:fill="FFFFFF"/>
        <w:kinsoku/>
        <w:wordWrap/>
        <w:overflowPunct/>
        <w:topLinePunct w:val="0"/>
        <w:bidi w:val="0"/>
        <w:spacing w:line="360" w:lineRule="auto"/>
        <w:ind w:firstLine="482" w:firstLineChars="200"/>
        <w:rPr>
          <w:b/>
          <w:sz w:val="24"/>
          <w:szCs w:val="24"/>
        </w:rPr>
      </w:pPr>
      <w:bookmarkStart w:id="101" w:name="_Toc16938548"/>
      <w:bookmarkStart w:id="102" w:name="_Toc513029232"/>
      <w:bookmarkStart w:id="103" w:name="_Toc20823304"/>
      <w:r>
        <w:rPr>
          <w:rFonts w:hint="eastAsia"/>
          <w:b/>
          <w:sz w:val="24"/>
          <w:szCs w:val="24"/>
        </w:rPr>
        <w:t>27.投标的澄清</w:t>
      </w:r>
      <w:bookmarkEnd w:id="101"/>
      <w:bookmarkEnd w:id="102"/>
      <w:bookmarkEnd w:id="103"/>
    </w:p>
    <w:p>
      <w:pPr>
        <w:pageBreakBefore w:val="0"/>
        <w:kinsoku/>
        <w:wordWrap/>
        <w:overflowPunct/>
        <w:topLinePunct w:val="0"/>
        <w:bidi w:val="0"/>
        <w:spacing w:line="360" w:lineRule="auto"/>
        <w:ind w:firstLine="480" w:firstLineChars="200"/>
        <w:rPr>
          <w:color w:val="000000"/>
          <w:sz w:val="24"/>
          <w:szCs w:val="24"/>
        </w:rPr>
      </w:pPr>
      <w:r>
        <w:rPr>
          <w:color w:val="000000"/>
          <w:sz w:val="24"/>
          <w:szCs w:val="24"/>
        </w:rPr>
        <w:t>2</w:t>
      </w:r>
      <w:r>
        <w:rPr>
          <w:rFonts w:hint="eastAsia"/>
          <w:color w:val="000000"/>
          <w:sz w:val="24"/>
          <w:szCs w:val="24"/>
        </w:rPr>
        <w:t>7.</w:t>
      </w:r>
      <w:r>
        <w:rPr>
          <w:color w:val="000000"/>
          <w:sz w:val="24"/>
          <w:szCs w:val="24"/>
        </w:rPr>
        <w:t>1</w:t>
      </w:r>
      <w:r>
        <w:rPr>
          <w:rFonts w:hint="eastAsia"/>
          <w:color w:val="000000"/>
          <w:sz w:val="24"/>
          <w:szCs w:val="24"/>
        </w:rPr>
        <w:t>评标期间，为有助于对投标文件的审查、评价和比较，评委会有权以书面形式要求投标人对其投标文件进行澄清，但并非对每个投标人都作澄清要求。</w:t>
      </w:r>
    </w:p>
    <w:p>
      <w:pPr>
        <w:pageBreakBefore w:val="0"/>
        <w:kinsoku/>
        <w:wordWrap/>
        <w:overflowPunct/>
        <w:topLinePunct w:val="0"/>
        <w:bidi w:val="0"/>
        <w:spacing w:line="360" w:lineRule="auto"/>
        <w:ind w:firstLine="480" w:firstLineChars="200"/>
        <w:rPr>
          <w:color w:val="000000"/>
          <w:sz w:val="24"/>
          <w:szCs w:val="24"/>
        </w:rPr>
      </w:pPr>
      <w:r>
        <w:rPr>
          <w:rFonts w:hint="eastAsia"/>
          <w:color w:val="000000"/>
          <w:sz w:val="24"/>
          <w:szCs w:val="24"/>
        </w:rPr>
        <w:t>27.2接到评委会澄清要求的投标人应派人按评委会通知的时间和地点做出书面澄清，书面澄清的内容须由投标人法人或授权代表签署，并作为投标文件的补充部分，但投标的价格和实质性的内容不得做任何更改。</w:t>
      </w:r>
    </w:p>
    <w:p>
      <w:pPr>
        <w:pageBreakBefore w:val="0"/>
        <w:kinsoku/>
        <w:wordWrap/>
        <w:overflowPunct/>
        <w:topLinePunct w:val="0"/>
        <w:bidi w:val="0"/>
        <w:spacing w:line="360" w:lineRule="auto"/>
        <w:ind w:firstLine="480" w:firstLineChars="200"/>
        <w:rPr>
          <w:color w:val="000000"/>
          <w:sz w:val="24"/>
          <w:szCs w:val="24"/>
        </w:rPr>
      </w:pPr>
      <w:r>
        <w:rPr>
          <w:rFonts w:hint="eastAsia"/>
          <w:color w:val="000000"/>
          <w:sz w:val="24"/>
          <w:szCs w:val="24"/>
        </w:rPr>
        <w:t>27.3 接到评委会澄清要求的投标人如未按规定做出澄清，其风险由投标人自行承担。</w:t>
      </w:r>
    </w:p>
    <w:p>
      <w:pPr>
        <w:pageBreakBefore w:val="0"/>
        <w:widowControl/>
        <w:shd w:val="clear" w:color="auto" w:fill="FFFFFF"/>
        <w:kinsoku/>
        <w:wordWrap/>
        <w:overflowPunct/>
        <w:topLinePunct w:val="0"/>
        <w:bidi w:val="0"/>
        <w:spacing w:line="360" w:lineRule="auto"/>
        <w:ind w:firstLine="482" w:firstLineChars="200"/>
        <w:rPr>
          <w:b/>
          <w:sz w:val="24"/>
          <w:szCs w:val="24"/>
        </w:rPr>
      </w:pPr>
      <w:bookmarkStart w:id="104" w:name="_Toc16938549"/>
      <w:bookmarkStart w:id="105" w:name="_Toc20823305"/>
      <w:bookmarkStart w:id="106" w:name="_Toc513029233"/>
      <w:r>
        <w:rPr>
          <w:rFonts w:hint="eastAsia"/>
          <w:b/>
          <w:sz w:val="24"/>
          <w:szCs w:val="24"/>
        </w:rPr>
        <w:t>28.对投标文件的评审</w:t>
      </w:r>
      <w:bookmarkEnd w:id="104"/>
      <w:bookmarkEnd w:id="105"/>
      <w:bookmarkEnd w:id="106"/>
    </w:p>
    <w:p>
      <w:pPr>
        <w:pageBreakBefore w:val="0"/>
        <w:kinsoku/>
        <w:wordWrap/>
        <w:overflowPunct/>
        <w:topLinePunct w:val="0"/>
        <w:bidi w:val="0"/>
        <w:spacing w:line="360" w:lineRule="auto"/>
        <w:ind w:firstLine="480" w:firstLineChars="200"/>
        <w:rPr>
          <w:bCs/>
          <w:color w:val="000000"/>
          <w:sz w:val="24"/>
          <w:szCs w:val="24"/>
        </w:rPr>
      </w:pPr>
      <w:r>
        <w:rPr>
          <w:rFonts w:hint="eastAsia"/>
          <w:color w:val="000000"/>
          <w:sz w:val="24"/>
          <w:szCs w:val="24"/>
        </w:rPr>
        <w:t>28.1</w:t>
      </w:r>
      <w:r>
        <w:rPr>
          <w:rFonts w:hint="eastAsia"/>
          <w:bCs/>
          <w:color w:val="000000"/>
          <w:sz w:val="24"/>
          <w:szCs w:val="24"/>
        </w:rPr>
        <w:t>符合性检查：依据招标文件的规定，从投标文件的有效性、完整性和对招标文件的响应程度进行审查，以确定是否对招标文件的实质性要求作出响应。</w:t>
      </w:r>
    </w:p>
    <w:p>
      <w:pPr>
        <w:pageBreakBefore w:val="0"/>
        <w:kinsoku/>
        <w:wordWrap/>
        <w:overflowPunct/>
        <w:topLinePunct w:val="0"/>
        <w:bidi w:val="0"/>
        <w:spacing w:line="360" w:lineRule="auto"/>
        <w:ind w:firstLine="480" w:firstLineChars="200"/>
        <w:rPr>
          <w:color w:val="000000"/>
          <w:sz w:val="24"/>
          <w:szCs w:val="24"/>
        </w:rPr>
      </w:pPr>
      <w:r>
        <w:rPr>
          <w:rFonts w:hint="eastAsia"/>
          <w:color w:val="000000"/>
          <w:sz w:val="24"/>
          <w:szCs w:val="24"/>
        </w:rPr>
        <w:t>28.2在详细评标之前，评委会将首先审查每份投标文件是否实质性响应了招标文件的要求。实质性响应的投标应该是与招标文件要求的全部条款、条件和规格相符，没有重大偏离或保留的投标。</w:t>
      </w:r>
    </w:p>
    <w:p>
      <w:pPr>
        <w:pageBreakBefore w:val="0"/>
        <w:kinsoku/>
        <w:wordWrap/>
        <w:overflowPunct/>
        <w:topLinePunct w:val="0"/>
        <w:bidi w:val="0"/>
        <w:spacing w:line="360" w:lineRule="auto"/>
        <w:ind w:firstLine="480" w:firstLineChars="200"/>
        <w:rPr>
          <w:bCs/>
          <w:color w:val="000000"/>
          <w:sz w:val="24"/>
          <w:szCs w:val="24"/>
        </w:rPr>
      </w:pPr>
      <w:r>
        <w:rPr>
          <w:rFonts w:hint="eastAsia"/>
          <w:color w:val="000000"/>
          <w:sz w:val="24"/>
          <w:szCs w:val="24"/>
        </w:rPr>
        <w:t>所谓重大偏离或保留是指与招标文件规定的实质性要求存在负偏离，或者在实质上与招标文件不一致，而且限制了合同中买方和见证方的权利或投标人的义务，纠正这些偏离或保留将会对其他实质性响应要求的投标人的竞争地位产生不公正的影响。是否属于重大偏离由评委会按照少数服从多数的原则作出结论。认定</w:t>
      </w:r>
      <w:r>
        <w:rPr>
          <w:rFonts w:hint="eastAsia"/>
          <w:bCs/>
          <w:color w:val="000000"/>
          <w:sz w:val="24"/>
          <w:szCs w:val="24"/>
        </w:rPr>
        <w:t>评委决定投标文件的响应性只根据投标文件本身的内容，而不寻求外部的证据。</w:t>
      </w:r>
    </w:p>
    <w:p>
      <w:pPr>
        <w:pageBreakBefore w:val="0"/>
        <w:kinsoku/>
        <w:wordWrap/>
        <w:overflowPunct/>
        <w:topLinePunct w:val="0"/>
        <w:bidi w:val="0"/>
        <w:spacing w:line="360" w:lineRule="auto"/>
        <w:ind w:firstLine="480" w:firstLineChars="200"/>
        <w:rPr>
          <w:bCs/>
          <w:color w:val="000000"/>
          <w:sz w:val="24"/>
          <w:szCs w:val="24"/>
        </w:rPr>
      </w:pPr>
      <w:r>
        <w:rPr>
          <w:rFonts w:hint="eastAsia"/>
          <w:color w:val="000000"/>
          <w:sz w:val="24"/>
          <w:szCs w:val="24"/>
        </w:rPr>
        <w:t>28.3</w:t>
      </w:r>
      <w:r>
        <w:rPr>
          <w:rFonts w:hint="eastAsia"/>
          <w:bCs/>
          <w:color w:val="000000"/>
          <w:sz w:val="24"/>
          <w:szCs w:val="24"/>
        </w:rPr>
        <w:t>如果投标文件实质上没有响应招标文件的要求，评委会将按无效投标处理，投标人不得通过修改或撤销不合要求的偏离或保留而使其投标成为实质性响应的投标。</w:t>
      </w:r>
    </w:p>
    <w:p>
      <w:pPr>
        <w:pageBreakBefore w:val="0"/>
        <w:kinsoku/>
        <w:wordWrap/>
        <w:overflowPunct/>
        <w:topLinePunct w:val="0"/>
        <w:bidi w:val="0"/>
        <w:spacing w:line="360" w:lineRule="auto"/>
        <w:ind w:firstLine="480" w:firstLineChars="200"/>
        <w:rPr>
          <w:bCs/>
          <w:color w:val="000000"/>
          <w:sz w:val="24"/>
          <w:szCs w:val="24"/>
        </w:rPr>
      </w:pPr>
      <w:r>
        <w:rPr>
          <w:rFonts w:hint="eastAsia"/>
          <w:bCs/>
          <w:color w:val="000000"/>
          <w:sz w:val="24"/>
          <w:szCs w:val="24"/>
        </w:rPr>
        <w:t>28.4评委会将对确定为实质性响应的投标进行进一步审核，看其是否有计算上或累加上的算术错误，修正错误的原则如下：</w:t>
      </w:r>
    </w:p>
    <w:p>
      <w:pPr>
        <w:pageBreakBefore w:val="0"/>
        <w:kinsoku/>
        <w:wordWrap/>
        <w:overflowPunct/>
        <w:topLinePunct w:val="0"/>
        <w:bidi w:val="0"/>
        <w:spacing w:line="360" w:lineRule="auto"/>
        <w:ind w:firstLine="480" w:firstLineChars="200"/>
        <w:rPr>
          <w:bCs/>
          <w:color w:val="000000"/>
          <w:sz w:val="24"/>
          <w:szCs w:val="24"/>
        </w:rPr>
      </w:pPr>
      <w:r>
        <w:rPr>
          <w:rFonts w:hint="eastAsia"/>
          <w:bCs/>
          <w:color w:val="000000"/>
          <w:sz w:val="24"/>
          <w:szCs w:val="24"/>
        </w:rPr>
        <w:t>（1）投标文件中开标一览表内容与投标文件中相应内容不一致的，以开标一览表为准。</w:t>
      </w:r>
    </w:p>
    <w:p>
      <w:pPr>
        <w:pageBreakBefore w:val="0"/>
        <w:kinsoku/>
        <w:wordWrap/>
        <w:overflowPunct/>
        <w:topLinePunct w:val="0"/>
        <w:bidi w:val="0"/>
        <w:spacing w:line="360" w:lineRule="auto"/>
        <w:ind w:firstLine="480" w:firstLineChars="200"/>
        <w:rPr>
          <w:bCs/>
          <w:color w:val="000000"/>
          <w:sz w:val="24"/>
          <w:szCs w:val="24"/>
        </w:rPr>
      </w:pPr>
      <w:r>
        <w:rPr>
          <w:rFonts w:hint="eastAsia"/>
          <w:bCs/>
          <w:color w:val="000000"/>
          <w:sz w:val="24"/>
          <w:szCs w:val="24"/>
        </w:rPr>
        <w:t>（2）大写金额和小写金额不一致的，以大写金额为准。</w:t>
      </w:r>
    </w:p>
    <w:p>
      <w:pPr>
        <w:pageBreakBefore w:val="0"/>
        <w:kinsoku/>
        <w:wordWrap/>
        <w:overflowPunct/>
        <w:topLinePunct w:val="0"/>
        <w:bidi w:val="0"/>
        <w:spacing w:line="360" w:lineRule="auto"/>
        <w:ind w:firstLine="480" w:firstLineChars="200"/>
        <w:rPr>
          <w:bCs/>
          <w:color w:val="000000"/>
          <w:sz w:val="24"/>
          <w:szCs w:val="24"/>
        </w:rPr>
      </w:pPr>
      <w:r>
        <w:rPr>
          <w:rFonts w:hint="eastAsia"/>
          <w:bCs/>
          <w:color w:val="000000"/>
          <w:sz w:val="24"/>
          <w:szCs w:val="24"/>
        </w:rPr>
        <w:t>（3）单价金额小数点或者百分比有明显错位的，以开标一览表的总价为准，并修改单价。</w:t>
      </w:r>
    </w:p>
    <w:p>
      <w:pPr>
        <w:pageBreakBefore w:val="0"/>
        <w:kinsoku/>
        <w:wordWrap/>
        <w:overflowPunct/>
        <w:topLinePunct w:val="0"/>
        <w:bidi w:val="0"/>
        <w:spacing w:line="360" w:lineRule="auto"/>
        <w:ind w:firstLine="480" w:firstLineChars="200"/>
        <w:rPr>
          <w:bCs/>
          <w:color w:val="000000"/>
          <w:sz w:val="24"/>
          <w:szCs w:val="24"/>
        </w:rPr>
      </w:pPr>
      <w:r>
        <w:rPr>
          <w:rFonts w:hint="eastAsia"/>
          <w:bCs/>
          <w:color w:val="000000"/>
          <w:sz w:val="24"/>
          <w:szCs w:val="24"/>
        </w:rPr>
        <w:t>（4）总价金额与按单价汇总金额不一致的，以单价金额计算结果为准。</w:t>
      </w:r>
    </w:p>
    <w:p>
      <w:pPr>
        <w:pageBreakBefore w:val="0"/>
        <w:kinsoku/>
        <w:wordWrap/>
        <w:overflowPunct/>
        <w:topLinePunct w:val="0"/>
        <w:bidi w:val="0"/>
        <w:spacing w:line="360" w:lineRule="auto"/>
        <w:ind w:firstLine="480" w:firstLineChars="200"/>
        <w:rPr>
          <w:bCs/>
          <w:color w:val="000000"/>
          <w:sz w:val="24"/>
          <w:szCs w:val="24"/>
        </w:rPr>
      </w:pPr>
      <w:r>
        <w:rPr>
          <w:rFonts w:hint="eastAsia"/>
          <w:bCs/>
          <w:color w:val="000000"/>
          <w:sz w:val="24"/>
          <w:szCs w:val="24"/>
        </w:rPr>
        <w:t>同时出现两种以上错误的，按照前款规定的顺序修正。</w:t>
      </w:r>
    </w:p>
    <w:p>
      <w:pPr>
        <w:pageBreakBefore w:val="0"/>
        <w:kinsoku/>
        <w:wordWrap/>
        <w:overflowPunct/>
        <w:topLinePunct w:val="0"/>
        <w:bidi w:val="0"/>
        <w:spacing w:line="360" w:lineRule="auto"/>
        <w:ind w:firstLine="480" w:firstLineChars="200"/>
        <w:rPr>
          <w:bCs/>
          <w:color w:val="000000"/>
          <w:sz w:val="24"/>
          <w:szCs w:val="24"/>
        </w:rPr>
      </w:pPr>
      <w:r>
        <w:rPr>
          <w:rFonts w:hint="eastAsia"/>
          <w:color w:val="000000"/>
          <w:sz w:val="24"/>
          <w:szCs w:val="24"/>
        </w:rPr>
        <w:t>28.5</w:t>
      </w:r>
      <w:r>
        <w:rPr>
          <w:rFonts w:hint="eastAsia"/>
          <w:bCs/>
          <w:color w:val="000000"/>
          <w:sz w:val="24"/>
          <w:szCs w:val="24"/>
        </w:rPr>
        <w:t>评委会将按上述修正错误的方法调整投标文件中的投标报价，调整后的价格应对投标人具有约束力。如果投标人不接受修正后的价格，则其投标将被拒绝。</w:t>
      </w:r>
    </w:p>
    <w:p>
      <w:pPr>
        <w:pageBreakBefore w:val="0"/>
        <w:kinsoku/>
        <w:wordWrap/>
        <w:overflowPunct/>
        <w:topLinePunct w:val="0"/>
        <w:bidi w:val="0"/>
        <w:spacing w:line="360" w:lineRule="auto"/>
        <w:ind w:firstLine="480" w:firstLineChars="200"/>
        <w:rPr>
          <w:bCs/>
          <w:color w:val="000000"/>
          <w:sz w:val="24"/>
          <w:szCs w:val="24"/>
        </w:rPr>
      </w:pPr>
      <w:r>
        <w:rPr>
          <w:rFonts w:hint="eastAsia"/>
          <w:bCs/>
          <w:color w:val="000000"/>
          <w:sz w:val="24"/>
          <w:szCs w:val="24"/>
        </w:rPr>
        <w:t>28.6评委会将允许修正投标文件中不构成重大偏离的、微小的、非正规的、不一致的或不规则的地方，但这些修改不能影响任何投标人相应的名次排列。</w:t>
      </w:r>
    </w:p>
    <w:p>
      <w:pPr>
        <w:pageBreakBefore w:val="0"/>
        <w:kinsoku/>
        <w:wordWrap/>
        <w:overflowPunct/>
        <w:topLinePunct w:val="0"/>
        <w:bidi w:val="0"/>
        <w:spacing w:line="360" w:lineRule="auto"/>
        <w:ind w:firstLine="480" w:firstLineChars="200"/>
        <w:rPr>
          <w:color w:val="000000"/>
          <w:sz w:val="24"/>
          <w:szCs w:val="24"/>
        </w:rPr>
      </w:pPr>
      <w:r>
        <w:rPr>
          <w:rFonts w:hint="eastAsia"/>
          <w:color w:val="000000"/>
          <w:sz w:val="24"/>
          <w:szCs w:val="24"/>
        </w:rPr>
        <w:t>28.7</w:t>
      </w:r>
      <w:r>
        <w:rPr>
          <w:color w:val="000000"/>
          <w:sz w:val="24"/>
          <w:szCs w:val="24"/>
        </w:rPr>
        <w:t xml:space="preserve"> </w:t>
      </w:r>
      <w:r>
        <w:rPr>
          <w:b/>
          <w:color w:val="000000"/>
          <w:sz w:val="24"/>
          <w:szCs w:val="24"/>
        </w:rPr>
        <w:t>使用综合评分法的采购项目，</w:t>
      </w:r>
      <w:r>
        <w:rPr>
          <w:color w:val="000000"/>
          <w:sz w:val="24"/>
          <w:szCs w:val="24"/>
        </w:rPr>
        <w:t>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pPr>
        <w:pageBreakBefore w:val="0"/>
        <w:widowControl/>
        <w:shd w:val="clear" w:color="auto" w:fill="FFFFFF"/>
        <w:kinsoku/>
        <w:wordWrap/>
        <w:overflowPunct/>
        <w:topLinePunct w:val="0"/>
        <w:bidi w:val="0"/>
        <w:spacing w:line="360" w:lineRule="auto"/>
        <w:ind w:firstLine="482" w:firstLineChars="200"/>
        <w:rPr>
          <w:b/>
          <w:sz w:val="24"/>
          <w:szCs w:val="24"/>
        </w:rPr>
      </w:pPr>
      <w:bookmarkStart w:id="107" w:name="_Toc20823306"/>
      <w:bookmarkStart w:id="108" w:name="_Toc513029234"/>
      <w:bookmarkStart w:id="109" w:name="_Toc16938550"/>
      <w:r>
        <w:rPr>
          <w:rFonts w:hint="eastAsia"/>
          <w:b/>
          <w:sz w:val="24"/>
          <w:szCs w:val="24"/>
        </w:rPr>
        <w:t>29.</w:t>
      </w:r>
      <w:bookmarkEnd w:id="107"/>
      <w:bookmarkEnd w:id="108"/>
      <w:bookmarkEnd w:id="109"/>
      <w:r>
        <w:rPr>
          <w:rFonts w:hint="eastAsia"/>
          <w:b/>
          <w:sz w:val="24"/>
          <w:szCs w:val="24"/>
        </w:rPr>
        <w:t>无效投标条款和废标条款</w:t>
      </w:r>
    </w:p>
    <w:p>
      <w:pPr>
        <w:pageBreakBefore w:val="0"/>
        <w:kinsoku/>
        <w:wordWrap/>
        <w:overflowPunct/>
        <w:topLinePunct w:val="0"/>
        <w:bidi w:val="0"/>
        <w:spacing w:line="360" w:lineRule="auto"/>
        <w:ind w:firstLine="480" w:firstLineChars="200"/>
        <w:rPr>
          <w:bCs/>
          <w:color w:val="000000"/>
          <w:sz w:val="24"/>
          <w:szCs w:val="24"/>
        </w:rPr>
      </w:pPr>
      <w:bookmarkStart w:id="110" w:name="_Toc16938551"/>
      <w:bookmarkStart w:id="111" w:name="_Toc20823307"/>
      <w:bookmarkStart w:id="112" w:name="_Toc513029235"/>
      <w:r>
        <w:rPr>
          <w:rFonts w:hint="eastAsia"/>
          <w:bCs/>
          <w:color w:val="000000"/>
          <w:sz w:val="24"/>
          <w:szCs w:val="24"/>
        </w:rPr>
        <w:t>29.1无效投标条款</w:t>
      </w:r>
    </w:p>
    <w:p>
      <w:pPr>
        <w:pageBreakBefore w:val="0"/>
        <w:kinsoku/>
        <w:wordWrap/>
        <w:overflowPunct/>
        <w:topLinePunct w:val="0"/>
        <w:bidi w:val="0"/>
        <w:spacing w:line="360" w:lineRule="auto"/>
        <w:ind w:firstLine="480" w:firstLineChars="200"/>
        <w:rPr>
          <w:bCs/>
          <w:color w:val="000000"/>
          <w:sz w:val="24"/>
          <w:szCs w:val="24"/>
        </w:rPr>
      </w:pPr>
      <w:r>
        <w:rPr>
          <w:rFonts w:hint="eastAsia"/>
          <w:bCs/>
          <w:color w:val="000000"/>
          <w:sz w:val="24"/>
          <w:szCs w:val="24"/>
        </w:rPr>
        <w:t>29.1.1未按照招标文件规定要求签署、盖章的；</w:t>
      </w:r>
    </w:p>
    <w:p>
      <w:pPr>
        <w:pageBreakBefore w:val="0"/>
        <w:kinsoku/>
        <w:wordWrap/>
        <w:overflowPunct/>
        <w:topLinePunct w:val="0"/>
        <w:bidi w:val="0"/>
        <w:spacing w:line="360" w:lineRule="auto"/>
        <w:ind w:firstLine="480" w:firstLineChars="200"/>
        <w:rPr>
          <w:bCs/>
          <w:color w:val="000000"/>
          <w:sz w:val="24"/>
          <w:szCs w:val="24"/>
        </w:rPr>
      </w:pPr>
      <w:r>
        <w:rPr>
          <w:rFonts w:hint="eastAsia"/>
          <w:bCs/>
          <w:color w:val="000000"/>
          <w:sz w:val="24"/>
          <w:szCs w:val="24"/>
        </w:rPr>
        <w:t>29.1.2投标人在报价时采用选择性报价；</w:t>
      </w:r>
    </w:p>
    <w:p>
      <w:pPr>
        <w:pageBreakBefore w:val="0"/>
        <w:kinsoku/>
        <w:wordWrap/>
        <w:overflowPunct/>
        <w:topLinePunct w:val="0"/>
        <w:bidi w:val="0"/>
        <w:spacing w:line="360" w:lineRule="auto"/>
        <w:ind w:firstLine="480" w:firstLineChars="200"/>
        <w:rPr>
          <w:bCs/>
          <w:color w:val="000000"/>
          <w:sz w:val="24"/>
          <w:szCs w:val="24"/>
        </w:rPr>
      </w:pPr>
      <w:r>
        <w:rPr>
          <w:rFonts w:hint="eastAsia"/>
          <w:bCs/>
          <w:color w:val="000000"/>
          <w:sz w:val="24"/>
          <w:szCs w:val="24"/>
        </w:rPr>
        <w:t>29.1.3投标人不具备招标文件中规定资格要求的；</w:t>
      </w:r>
    </w:p>
    <w:p>
      <w:pPr>
        <w:pageBreakBefore w:val="0"/>
        <w:kinsoku/>
        <w:wordWrap/>
        <w:overflowPunct/>
        <w:topLinePunct w:val="0"/>
        <w:bidi w:val="0"/>
        <w:spacing w:line="360" w:lineRule="auto"/>
        <w:ind w:firstLine="480" w:firstLineChars="200"/>
        <w:rPr>
          <w:bCs/>
          <w:color w:val="000000"/>
          <w:sz w:val="24"/>
          <w:szCs w:val="24"/>
        </w:rPr>
      </w:pPr>
      <w:r>
        <w:rPr>
          <w:rFonts w:hint="eastAsia"/>
          <w:bCs/>
          <w:color w:val="000000"/>
          <w:sz w:val="24"/>
          <w:szCs w:val="24"/>
        </w:rPr>
        <w:t>29.1.4投标人的报价超过了采购预算或最高限价的；</w:t>
      </w:r>
    </w:p>
    <w:p>
      <w:pPr>
        <w:pageBreakBefore w:val="0"/>
        <w:kinsoku/>
        <w:wordWrap/>
        <w:overflowPunct/>
        <w:topLinePunct w:val="0"/>
        <w:bidi w:val="0"/>
        <w:spacing w:line="360" w:lineRule="auto"/>
        <w:ind w:firstLine="480" w:firstLineChars="200"/>
        <w:rPr>
          <w:bCs/>
          <w:i/>
          <w:color w:val="000000"/>
          <w:sz w:val="24"/>
          <w:szCs w:val="24"/>
          <w:u w:val="single"/>
        </w:rPr>
      </w:pPr>
      <w:r>
        <w:rPr>
          <w:rFonts w:hint="eastAsia"/>
          <w:bCs/>
          <w:color w:val="000000"/>
          <w:sz w:val="24"/>
          <w:szCs w:val="24"/>
        </w:rPr>
        <w:t>29.1.5未通过符合性检查的；</w:t>
      </w:r>
    </w:p>
    <w:p>
      <w:pPr>
        <w:pageBreakBefore w:val="0"/>
        <w:kinsoku/>
        <w:wordWrap/>
        <w:overflowPunct/>
        <w:topLinePunct w:val="0"/>
        <w:bidi w:val="0"/>
        <w:spacing w:line="360" w:lineRule="auto"/>
        <w:ind w:firstLine="480" w:firstLineChars="200"/>
        <w:rPr>
          <w:bCs/>
          <w:color w:val="000000"/>
          <w:sz w:val="24"/>
          <w:szCs w:val="24"/>
        </w:rPr>
      </w:pPr>
      <w:r>
        <w:rPr>
          <w:rFonts w:hint="eastAsia"/>
          <w:bCs/>
          <w:color w:val="000000"/>
          <w:sz w:val="24"/>
          <w:szCs w:val="24"/>
        </w:rPr>
        <w:t>29.1.6不符合招标文件中规定的其他实质性要求和条件的；</w:t>
      </w:r>
    </w:p>
    <w:p>
      <w:pPr>
        <w:pageBreakBefore w:val="0"/>
        <w:kinsoku/>
        <w:wordWrap/>
        <w:overflowPunct/>
        <w:topLinePunct w:val="0"/>
        <w:bidi w:val="0"/>
        <w:spacing w:line="360" w:lineRule="auto"/>
        <w:ind w:firstLine="480" w:firstLineChars="200"/>
        <w:rPr>
          <w:bCs/>
          <w:color w:val="000000"/>
          <w:sz w:val="24"/>
          <w:szCs w:val="24"/>
        </w:rPr>
      </w:pPr>
      <w:r>
        <w:rPr>
          <w:rFonts w:hint="eastAsia"/>
          <w:bCs/>
          <w:color w:val="000000"/>
          <w:sz w:val="24"/>
          <w:szCs w:val="24"/>
        </w:rPr>
        <w:t>29.1.7投标人串通投标；</w:t>
      </w:r>
    </w:p>
    <w:p>
      <w:pPr>
        <w:pageBreakBefore w:val="0"/>
        <w:kinsoku/>
        <w:wordWrap/>
        <w:overflowPunct/>
        <w:topLinePunct w:val="0"/>
        <w:bidi w:val="0"/>
        <w:spacing w:line="360" w:lineRule="auto"/>
        <w:ind w:firstLine="480" w:firstLineChars="200"/>
        <w:rPr>
          <w:bCs/>
          <w:color w:val="000000"/>
          <w:sz w:val="24"/>
          <w:szCs w:val="24"/>
        </w:rPr>
      </w:pPr>
      <w:r>
        <w:rPr>
          <w:rFonts w:hint="eastAsia"/>
          <w:bCs/>
          <w:color w:val="000000"/>
          <w:sz w:val="24"/>
          <w:szCs w:val="24"/>
        </w:rPr>
        <w:t>29.1.8  投标文件含有采购人不能接受的附加条件的。</w:t>
      </w:r>
    </w:p>
    <w:p>
      <w:pPr>
        <w:pageBreakBefore w:val="0"/>
        <w:kinsoku/>
        <w:wordWrap/>
        <w:overflowPunct/>
        <w:topLinePunct w:val="0"/>
        <w:bidi w:val="0"/>
        <w:spacing w:line="360" w:lineRule="auto"/>
        <w:ind w:firstLine="480" w:firstLineChars="200"/>
        <w:rPr>
          <w:bCs/>
          <w:color w:val="000000"/>
          <w:sz w:val="24"/>
          <w:szCs w:val="24"/>
        </w:rPr>
      </w:pPr>
      <w:r>
        <w:rPr>
          <w:rFonts w:hint="eastAsia"/>
          <w:bCs/>
          <w:color w:val="000000"/>
          <w:sz w:val="24"/>
          <w:szCs w:val="24"/>
        </w:rPr>
        <w:t>29.1.9 评标委员会认为投标人的报价明显低于其他通过符合性审查投标人的报价，有可能影响产品质量或者不能诚信履约的，应当要求其在合理的时间内提供书面说明，必要时提交相关证明材料；投标人不能证明其报价合理性的，评标委员会应当将其作为无效投标处理。</w:t>
      </w:r>
    </w:p>
    <w:p>
      <w:pPr>
        <w:pageBreakBefore w:val="0"/>
        <w:kinsoku/>
        <w:wordWrap/>
        <w:overflowPunct/>
        <w:topLinePunct w:val="0"/>
        <w:bidi w:val="0"/>
        <w:spacing w:line="360" w:lineRule="auto"/>
        <w:ind w:firstLine="480" w:firstLineChars="200"/>
        <w:rPr>
          <w:bCs/>
          <w:color w:val="000000"/>
          <w:sz w:val="24"/>
          <w:szCs w:val="24"/>
        </w:rPr>
      </w:pPr>
      <w:r>
        <w:rPr>
          <w:rFonts w:hint="eastAsia"/>
          <w:bCs/>
          <w:color w:val="000000"/>
          <w:sz w:val="24"/>
          <w:szCs w:val="24"/>
        </w:rPr>
        <w:t>29.1.10其他法律、法规及本招标文件规定的属无效投标的情形。</w:t>
      </w:r>
    </w:p>
    <w:p>
      <w:pPr>
        <w:pageBreakBefore w:val="0"/>
        <w:kinsoku/>
        <w:wordWrap/>
        <w:overflowPunct/>
        <w:topLinePunct w:val="0"/>
        <w:bidi w:val="0"/>
        <w:spacing w:line="360" w:lineRule="auto"/>
        <w:ind w:firstLine="480" w:firstLineChars="200"/>
        <w:rPr>
          <w:bCs/>
          <w:color w:val="000000"/>
          <w:sz w:val="24"/>
          <w:szCs w:val="24"/>
        </w:rPr>
      </w:pPr>
      <w:r>
        <w:rPr>
          <w:rFonts w:hint="eastAsia"/>
          <w:bCs/>
          <w:color w:val="000000"/>
          <w:sz w:val="24"/>
          <w:szCs w:val="24"/>
        </w:rPr>
        <w:t>29.2废标条款：</w:t>
      </w:r>
    </w:p>
    <w:p>
      <w:pPr>
        <w:pageBreakBefore w:val="0"/>
        <w:kinsoku/>
        <w:wordWrap/>
        <w:overflowPunct/>
        <w:topLinePunct w:val="0"/>
        <w:bidi w:val="0"/>
        <w:spacing w:line="360" w:lineRule="auto"/>
        <w:ind w:firstLine="480" w:firstLineChars="200"/>
        <w:rPr>
          <w:bCs/>
          <w:color w:val="000000"/>
          <w:sz w:val="24"/>
          <w:szCs w:val="24"/>
        </w:rPr>
      </w:pPr>
      <w:r>
        <w:rPr>
          <w:rFonts w:hint="eastAsia"/>
          <w:bCs/>
          <w:color w:val="000000"/>
          <w:sz w:val="24"/>
          <w:szCs w:val="24"/>
        </w:rPr>
        <w:t>29.2.1符合专业条件的供应商或者对招标文件作实质响应的供应商不足三家的；</w:t>
      </w:r>
    </w:p>
    <w:p>
      <w:pPr>
        <w:pageBreakBefore w:val="0"/>
        <w:kinsoku/>
        <w:wordWrap/>
        <w:overflowPunct/>
        <w:topLinePunct w:val="0"/>
        <w:bidi w:val="0"/>
        <w:spacing w:line="360" w:lineRule="auto"/>
        <w:ind w:firstLine="480" w:firstLineChars="200"/>
        <w:rPr>
          <w:bCs/>
          <w:color w:val="000000"/>
          <w:sz w:val="24"/>
          <w:szCs w:val="24"/>
        </w:rPr>
      </w:pPr>
      <w:r>
        <w:rPr>
          <w:rFonts w:hint="eastAsia"/>
          <w:bCs/>
          <w:color w:val="000000"/>
          <w:sz w:val="24"/>
          <w:szCs w:val="24"/>
        </w:rPr>
        <w:t>29.2.2出现影响采购公正的违法、违规行为的；</w:t>
      </w:r>
    </w:p>
    <w:p>
      <w:pPr>
        <w:pageBreakBefore w:val="0"/>
        <w:kinsoku/>
        <w:wordWrap/>
        <w:overflowPunct/>
        <w:topLinePunct w:val="0"/>
        <w:bidi w:val="0"/>
        <w:spacing w:line="360" w:lineRule="auto"/>
        <w:ind w:firstLine="480" w:firstLineChars="200"/>
        <w:rPr>
          <w:bCs/>
          <w:color w:val="000000"/>
          <w:sz w:val="24"/>
          <w:szCs w:val="24"/>
        </w:rPr>
      </w:pPr>
      <w:r>
        <w:rPr>
          <w:rFonts w:hint="eastAsia"/>
          <w:bCs/>
          <w:color w:val="000000"/>
          <w:sz w:val="24"/>
          <w:szCs w:val="24"/>
        </w:rPr>
        <w:t>29.2.3因重大变故，采购任务取消的；</w:t>
      </w:r>
    </w:p>
    <w:p>
      <w:pPr>
        <w:pageBreakBefore w:val="0"/>
        <w:kinsoku/>
        <w:wordWrap/>
        <w:overflowPunct/>
        <w:topLinePunct w:val="0"/>
        <w:bidi w:val="0"/>
        <w:spacing w:line="360" w:lineRule="auto"/>
        <w:ind w:firstLine="480" w:firstLineChars="200"/>
        <w:rPr>
          <w:bCs/>
          <w:color w:val="000000"/>
          <w:sz w:val="24"/>
          <w:szCs w:val="24"/>
        </w:rPr>
      </w:pPr>
      <w:r>
        <w:rPr>
          <w:rFonts w:hint="eastAsia"/>
          <w:bCs/>
          <w:color w:val="000000"/>
          <w:sz w:val="24"/>
          <w:szCs w:val="24"/>
        </w:rPr>
        <w:t>29.2.4评标委员会认定招标文件存在歧义、 重大缺陷导致评审工作无法进行。</w:t>
      </w:r>
    </w:p>
    <w:p>
      <w:pPr>
        <w:pageBreakBefore w:val="0"/>
        <w:kinsoku/>
        <w:wordWrap/>
        <w:overflowPunct/>
        <w:topLinePunct w:val="0"/>
        <w:bidi w:val="0"/>
        <w:spacing w:line="360" w:lineRule="auto"/>
        <w:ind w:firstLine="480" w:firstLineChars="200"/>
        <w:rPr>
          <w:bCs/>
          <w:color w:val="000000"/>
          <w:sz w:val="24"/>
          <w:szCs w:val="24"/>
        </w:rPr>
      </w:pPr>
      <w:r>
        <w:rPr>
          <w:rFonts w:hint="eastAsia"/>
          <w:bCs/>
          <w:color w:val="000000"/>
          <w:sz w:val="24"/>
          <w:szCs w:val="24"/>
        </w:rPr>
        <w:t>29.3 投标截止时间结束后参加投标的供应商不足三家的处理：</w:t>
      </w:r>
    </w:p>
    <w:p>
      <w:pPr>
        <w:pageBreakBefore w:val="0"/>
        <w:kinsoku/>
        <w:wordWrap/>
        <w:overflowPunct/>
        <w:topLinePunct w:val="0"/>
        <w:bidi w:val="0"/>
        <w:spacing w:line="360" w:lineRule="auto"/>
        <w:ind w:firstLine="480" w:firstLineChars="200"/>
        <w:rPr>
          <w:bCs/>
          <w:color w:val="000000"/>
          <w:sz w:val="24"/>
          <w:szCs w:val="24"/>
        </w:rPr>
      </w:pPr>
      <w:r>
        <w:rPr>
          <w:rFonts w:hint="eastAsia"/>
          <w:bCs/>
          <w:color w:val="000000"/>
          <w:sz w:val="24"/>
          <w:szCs w:val="24"/>
        </w:rPr>
        <w:t>29.3.1如出现投标截止时间结束后参加投标的供应商或者在评标期间对招标文件做出实质响应的供应商不足三家情况，按财政部第八十七号令第四十三条的规定执行。</w:t>
      </w:r>
    </w:p>
    <w:p>
      <w:pPr>
        <w:pageBreakBefore w:val="0"/>
        <w:widowControl/>
        <w:shd w:val="clear" w:color="auto" w:fill="FFFFFF"/>
        <w:kinsoku/>
        <w:wordWrap/>
        <w:overflowPunct/>
        <w:topLinePunct w:val="0"/>
        <w:bidi w:val="0"/>
        <w:spacing w:line="360" w:lineRule="auto"/>
        <w:ind w:firstLine="482" w:firstLineChars="200"/>
        <w:rPr>
          <w:b/>
          <w:sz w:val="24"/>
          <w:szCs w:val="24"/>
        </w:rPr>
      </w:pPr>
      <w:bookmarkStart w:id="113" w:name="_Toc120614219"/>
      <w:r>
        <w:rPr>
          <w:rFonts w:hint="eastAsia"/>
          <w:b/>
          <w:sz w:val="24"/>
          <w:szCs w:val="24"/>
        </w:rPr>
        <w:t>六、</w:t>
      </w:r>
      <w:bookmarkEnd w:id="110"/>
      <w:bookmarkEnd w:id="111"/>
      <w:bookmarkEnd w:id="112"/>
      <w:r>
        <w:rPr>
          <w:rFonts w:hint="eastAsia"/>
          <w:b/>
          <w:sz w:val="24"/>
          <w:szCs w:val="24"/>
        </w:rPr>
        <w:t>定标</w:t>
      </w:r>
      <w:bookmarkEnd w:id="113"/>
    </w:p>
    <w:p>
      <w:pPr>
        <w:pageBreakBefore w:val="0"/>
        <w:widowControl/>
        <w:shd w:val="clear" w:color="auto" w:fill="FFFFFF"/>
        <w:kinsoku/>
        <w:wordWrap/>
        <w:overflowPunct/>
        <w:topLinePunct w:val="0"/>
        <w:bidi w:val="0"/>
        <w:spacing w:line="360" w:lineRule="auto"/>
        <w:ind w:firstLine="482" w:firstLineChars="200"/>
        <w:rPr>
          <w:b/>
          <w:sz w:val="24"/>
          <w:szCs w:val="24"/>
        </w:rPr>
      </w:pPr>
      <w:bookmarkStart w:id="114" w:name="_Toc513029238"/>
      <w:bookmarkStart w:id="115" w:name="_Toc20823310"/>
      <w:bookmarkStart w:id="116" w:name="_Toc16938554"/>
      <w:r>
        <w:rPr>
          <w:rFonts w:hint="eastAsia"/>
          <w:b/>
          <w:sz w:val="24"/>
          <w:szCs w:val="24"/>
        </w:rPr>
        <w:t>30.</w:t>
      </w:r>
      <w:bookmarkEnd w:id="114"/>
      <w:r>
        <w:rPr>
          <w:rFonts w:hint="eastAsia"/>
          <w:b/>
          <w:sz w:val="24"/>
          <w:szCs w:val="24"/>
        </w:rPr>
        <w:t>确定</w:t>
      </w:r>
      <w:bookmarkEnd w:id="115"/>
      <w:bookmarkEnd w:id="116"/>
      <w:r>
        <w:rPr>
          <w:rFonts w:hint="eastAsia"/>
          <w:b/>
          <w:sz w:val="24"/>
          <w:szCs w:val="24"/>
        </w:rPr>
        <w:t>中标单位</w:t>
      </w:r>
    </w:p>
    <w:p>
      <w:pPr>
        <w:pageBreakBefore w:val="0"/>
        <w:kinsoku/>
        <w:wordWrap/>
        <w:overflowPunct/>
        <w:topLinePunct w:val="0"/>
        <w:bidi w:val="0"/>
        <w:spacing w:line="360" w:lineRule="auto"/>
        <w:ind w:firstLine="480" w:firstLineChars="200"/>
        <w:rPr>
          <w:bCs/>
          <w:color w:val="000000"/>
          <w:spacing w:val="-4"/>
          <w:sz w:val="24"/>
          <w:szCs w:val="24"/>
        </w:rPr>
      </w:pPr>
      <w:r>
        <w:rPr>
          <w:rFonts w:hint="eastAsia"/>
          <w:bCs/>
          <w:color w:val="000000"/>
          <w:sz w:val="24"/>
          <w:szCs w:val="24"/>
        </w:rPr>
        <w:t>30.1</w:t>
      </w:r>
      <w:r>
        <w:rPr>
          <w:rFonts w:hint="eastAsia"/>
          <w:bCs/>
          <w:color w:val="000000"/>
          <w:spacing w:val="-4"/>
          <w:sz w:val="24"/>
          <w:szCs w:val="24"/>
        </w:rPr>
        <w:t>评委会根据本招标文件规定评标方法与评标标准向采购人推荐出中标候选人。</w:t>
      </w:r>
    </w:p>
    <w:p>
      <w:pPr>
        <w:pageBreakBefore w:val="0"/>
        <w:kinsoku/>
        <w:wordWrap/>
        <w:overflowPunct/>
        <w:topLinePunct w:val="0"/>
        <w:bidi w:val="0"/>
        <w:spacing w:line="360" w:lineRule="auto"/>
        <w:ind w:firstLine="480" w:firstLineChars="200"/>
        <w:rPr>
          <w:bCs/>
          <w:color w:val="000000"/>
          <w:sz w:val="24"/>
          <w:szCs w:val="24"/>
        </w:rPr>
      </w:pPr>
      <w:r>
        <w:rPr>
          <w:rFonts w:hint="eastAsia"/>
          <w:bCs/>
          <w:color w:val="000000"/>
          <w:sz w:val="24"/>
          <w:szCs w:val="24"/>
        </w:rPr>
        <w:t>30.2 采购人应根据评委会推荐的中标候选人确定中标人。</w:t>
      </w:r>
    </w:p>
    <w:p>
      <w:pPr>
        <w:pageBreakBefore w:val="0"/>
        <w:kinsoku/>
        <w:wordWrap/>
        <w:overflowPunct/>
        <w:topLinePunct w:val="0"/>
        <w:bidi w:val="0"/>
        <w:spacing w:line="360" w:lineRule="auto"/>
        <w:ind w:firstLine="480" w:firstLineChars="200"/>
        <w:rPr>
          <w:color w:val="000000"/>
          <w:sz w:val="24"/>
          <w:szCs w:val="24"/>
        </w:rPr>
      </w:pPr>
      <w:r>
        <w:rPr>
          <w:rFonts w:hint="eastAsia"/>
          <w:bCs/>
          <w:color w:val="000000"/>
          <w:sz w:val="24"/>
          <w:szCs w:val="24"/>
        </w:rPr>
        <w:t>30.3</w:t>
      </w:r>
      <w:r>
        <w:rPr>
          <w:rFonts w:hint="eastAsia"/>
          <w:color w:val="000000"/>
          <w:sz w:val="24"/>
          <w:szCs w:val="24"/>
        </w:rPr>
        <w:t>采购人将在“江苏政府采购网”、“盐城市政府采购网”、“盐城幼儿师范高等专科学校网站”发布中标公告，公告期限为1个工作日。</w:t>
      </w:r>
    </w:p>
    <w:p>
      <w:pPr>
        <w:pageBreakBefore w:val="0"/>
        <w:kinsoku/>
        <w:wordWrap/>
        <w:overflowPunct/>
        <w:topLinePunct w:val="0"/>
        <w:bidi w:val="0"/>
        <w:snapToGrid w:val="0"/>
        <w:spacing w:line="360" w:lineRule="auto"/>
        <w:ind w:firstLine="480" w:firstLineChars="200"/>
        <w:rPr>
          <w:color w:val="000000"/>
          <w:sz w:val="24"/>
          <w:szCs w:val="24"/>
        </w:rPr>
      </w:pPr>
      <w:r>
        <w:rPr>
          <w:rFonts w:hint="eastAsia"/>
          <w:color w:val="000000"/>
          <w:sz w:val="24"/>
          <w:szCs w:val="24"/>
        </w:rPr>
        <w:t>30.4若有充分证据证明，中标人出现下列情况之一的，一经查实，将被取消中标资格：</w:t>
      </w:r>
    </w:p>
    <w:p>
      <w:pPr>
        <w:pageBreakBefore w:val="0"/>
        <w:kinsoku/>
        <w:wordWrap/>
        <w:overflowPunct/>
        <w:topLinePunct w:val="0"/>
        <w:bidi w:val="0"/>
        <w:snapToGrid w:val="0"/>
        <w:spacing w:line="360" w:lineRule="auto"/>
        <w:ind w:firstLine="480" w:firstLineChars="200"/>
        <w:rPr>
          <w:color w:val="000000"/>
          <w:sz w:val="24"/>
          <w:szCs w:val="24"/>
        </w:rPr>
      </w:pPr>
      <w:r>
        <w:rPr>
          <w:rFonts w:hint="eastAsia"/>
          <w:color w:val="000000"/>
          <w:sz w:val="24"/>
          <w:szCs w:val="24"/>
        </w:rPr>
        <w:t>30.4.1提供虚假材料谋取中标的；</w:t>
      </w:r>
    </w:p>
    <w:p>
      <w:pPr>
        <w:pageBreakBefore w:val="0"/>
        <w:kinsoku/>
        <w:wordWrap/>
        <w:overflowPunct/>
        <w:topLinePunct w:val="0"/>
        <w:bidi w:val="0"/>
        <w:snapToGrid w:val="0"/>
        <w:spacing w:line="360" w:lineRule="auto"/>
        <w:ind w:firstLine="480" w:firstLineChars="200"/>
        <w:rPr>
          <w:color w:val="000000"/>
          <w:sz w:val="24"/>
          <w:szCs w:val="24"/>
        </w:rPr>
      </w:pPr>
      <w:r>
        <w:rPr>
          <w:rFonts w:hint="eastAsia"/>
          <w:color w:val="000000"/>
          <w:sz w:val="24"/>
          <w:szCs w:val="24"/>
        </w:rPr>
        <w:t>30.4.2向采购人、代理机构行贿或者提供其他不正当利益的；</w:t>
      </w:r>
    </w:p>
    <w:p>
      <w:pPr>
        <w:pageBreakBefore w:val="0"/>
        <w:kinsoku/>
        <w:wordWrap/>
        <w:overflowPunct/>
        <w:topLinePunct w:val="0"/>
        <w:bidi w:val="0"/>
        <w:snapToGrid w:val="0"/>
        <w:spacing w:line="360" w:lineRule="auto"/>
        <w:ind w:firstLine="480" w:firstLineChars="200"/>
        <w:rPr>
          <w:color w:val="000000"/>
          <w:sz w:val="24"/>
          <w:szCs w:val="24"/>
        </w:rPr>
      </w:pPr>
      <w:r>
        <w:rPr>
          <w:rFonts w:hint="eastAsia"/>
          <w:color w:val="000000"/>
          <w:sz w:val="24"/>
          <w:szCs w:val="24"/>
        </w:rPr>
        <w:t>30.4.3恶意竞争，投标总报价明显低于其自身合理成本且又无法提供证明的；</w:t>
      </w:r>
    </w:p>
    <w:p>
      <w:pPr>
        <w:pageBreakBefore w:val="0"/>
        <w:kinsoku/>
        <w:wordWrap/>
        <w:overflowPunct/>
        <w:topLinePunct w:val="0"/>
        <w:bidi w:val="0"/>
        <w:snapToGrid w:val="0"/>
        <w:spacing w:line="360" w:lineRule="auto"/>
        <w:ind w:firstLine="480" w:firstLineChars="200"/>
        <w:rPr>
          <w:color w:val="000000"/>
          <w:sz w:val="24"/>
          <w:szCs w:val="24"/>
        </w:rPr>
      </w:pPr>
      <w:r>
        <w:rPr>
          <w:rFonts w:hint="eastAsia"/>
          <w:color w:val="000000"/>
          <w:sz w:val="24"/>
          <w:szCs w:val="24"/>
        </w:rPr>
        <w:t>30.4.4属于本文件规定的无效条件，但在评标过程中又未被评委会发现的；</w:t>
      </w:r>
    </w:p>
    <w:p>
      <w:pPr>
        <w:pageBreakBefore w:val="0"/>
        <w:kinsoku/>
        <w:wordWrap/>
        <w:overflowPunct/>
        <w:topLinePunct w:val="0"/>
        <w:bidi w:val="0"/>
        <w:snapToGrid w:val="0"/>
        <w:spacing w:line="360" w:lineRule="auto"/>
        <w:ind w:firstLine="480" w:firstLineChars="200"/>
        <w:rPr>
          <w:color w:val="000000"/>
          <w:sz w:val="24"/>
          <w:szCs w:val="24"/>
        </w:rPr>
      </w:pPr>
      <w:r>
        <w:rPr>
          <w:rFonts w:hint="eastAsia"/>
          <w:color w:val="000000"/>
          <w:sz w:val="24"/>
          <w:szCs w:val="24"/>
        </w:rPr>
        <w:t>30.4.5与采购人或者其他供应商恶意串通的；</w:t>
      </w:r>
    </w:p>
    <w:p>
      <w:pPr>
        <w:pageBreakBefore w:val="0"/>
        <w:kinsoku/>
        <w:wordWrap/>
        <w:overflowPunct/>
        <w:topLinePunct w:val="0"/>
        <w:bidi w:val="0"/>
        <w:snapToGrid w:val="0"/>
        <w:spacing w:line="360" w:lineRule="auto"/>
        <w:ind w:firstLine="480" w:firstLineChars="200"/>
        <w:rPr>
          <w:color w:val="000000"/>
          <w:sz w:val="24"/>
          <w:szCs w:val="24"/>
        </w:rPr>
      </w:pPr>
      <w:r>
        <w:rPr>
          <w:rFonts w:hint="eastAsia"/>
          <w:color w:val="000000"/>
          <w:sz w:val="24"/>
          <w:szCs w:val="24"/>
        </w:rPr>
        <w:t>30.4.6采取不正当手段诋毁、排挤其他供应商的；</w:t>
      </w:r>
    </w:p>
    <w:p>
      <w:pPr>
        <w:pageBreakBefore w:val="0"/>
        <w:kinsoku/>
        <w:wordWrap/>
        <w:overflowPunct/>
        <w:topLinePunct w:val="0"/>
        <w:bidi w:val="0"/>
        <w:snapToGrid w:val="0"/>
        <w:spacing w:line="360" w:lineRule="auto"/>
        <w:ind w:firstLine="480" w:firstLineChars="200"/>
        <w:rPr>
          <w:color w:val="000000"/>
          <w:sz w:val="24"/>
          <w:szCs w:val="24"/>
        </w:rPr>
      </w:pPr>
      <w:r>
        <w:rPr>
          <w:rFonts w:hint="eastAsia"/>
          <w:color w:val="000000"/>
          <w:sz w:val="24"/>
          <w:szCs w:val="24"/>
        </w:rPr>
        <w:t>30.4.7不符合法律、法规的规定的。</w:t>
      </w:r>
      <w:bookmarkStart w:id="117" w:name="_Toc200451960"/>
    </w:p>
    <w:p>
      <w:pPr>
        <w:pageBreakBefore w:val="0"/>
        <w:kinsoku/>
        <w:wordWrap/>
        <w:overflowPunct/>
        <w:topLinePunct w:val="0"/>
        <w:bidi w:val="0"/>
        <w:snapToGrid w:val="0"/>
        <w:spacing w:line="360" w:lineRule="auto"/>
        <w:ind w:firstLine="480" w:firstLineChars="200"/>
        <w:rPr>
          <w:color w:val="000000"/>
          <w:sz w:val="24"/>
          <w:szCs w:val="24"/>
        </w:rPr>
      </w:pPr>
      <w:r>
        <w:rPr>
          <w:rFonts w:hint="eastAsia"/>
          <w:color w:val="000000"/>
          <w:sz w:val="24"/>
          <w:szCs w:val="24"/>
        </w:rPr>
        <w:t xml:space="preserve">30.5. </w:t>
      </w:r>
      <w:r>
        <w:rPr>
          <w:color w:val="000000"/>
          <w:sz w:val="24"/>
          <w:szCs w:val="24"/>
        </w:rPr>
        <w:t>有下列情形之一的，</w:t>
      </w:r>
      <w:r>
        <w:rPr>
          <w:rFonts w:hint="eastAsia"/>
          <w:color w:val="000000"/>
          <w:sz w:val="24"/>
          <w:szCs w:val="24"/>
        </w:rPr>
        <w:t>视为投标人</w:t>
      </w:r>
      <w:r>
        <w:rPr>
          <w:color w:val="000000"/>
          <w:sz w:val="24"/>
          <w:szCs w:val="24"/>
        </w:rPr>
        <w:t>串通</w:t>
      </w:r>
      <w:r>
        <w:rPr>
          <w:rFonts w:hint="eastAsia"/>
          <w:color w:val="000000"/>
          <w:sz w:val="24"/>
          <w:szCs w:val="24"/>
        </w:rPr>
        <w:t>投标，投标无效：</w:t>
      </w:r>
    </w:p>
    <w:p>
      <w:pPr>
        <w:pageBreakBefore w:val="0"/>
        <w:kinsoku/>
        <w:wordWrap/>
        <w:overflowPunct/>
        <w:topLinePunct w:val="0"/>
        <w:bidi w:val="0"/>
        <w:snapToGrid w:val="0"/>
        <w:spacing w:line="360" w:lineRule="auto"/>
        <w:ind w:firstLine="480" w:firstLineChars="200"/>
        <w:rPr>
          <w:color w:val="000000"/>
          <w:sz w:val="24"/>
          <w:szCs w:val="24"/>
        </w:rPr>
      </w:pPr>
      <w:r>
        <w:rPr>
          <w:rFonts w:hint="eastAsia"/>
          <w:color w:val="000000"/>
          <w:sz w:val="24"/>
          <w:szCs w:val="24"/>
        </w:rPr>
        <w:t>30.5.1不同投标人的投标文件由同一单位或者个人编制。</w:t>
      </w:r>
    </w:p>
    <w:p>
      <w:pPr>
        <w:pageBreakBefore w:val="0"/>
        <w:kinsoku/>
        <w:wordWrap/>
        <w:overflowPunct/>
        <w:topLinePunct w:val="0"/>
        <w:bidi w:val="0"/>
        <w:snapToGrid w:val="0"/>
        <w:spacing w:line="360" w:lineRule="auto"/>
        <w:ind w:firstLine="480" w:firstLineChars="200"/>
        <w:rPr>
          <w:color w:val="000000"/>
          <w:sz w:val="24"/>
          <w:szCs w:val="24"/>
        </w:rPr>
      </w:pPr>
      <w:r>
        <w:rPr>
          <w:rFonts w:hint="eastAsia"/>
          <w:color w:val="000000"/>
          <w:sz w:val="24"/>
          <w:szCs w:val="24"/>
        </w:rPr>
        <w:t>30.5.2不同投标人委托同一单位或者个人办理投标事宜。</w:t>
      </w:r>
    </w:p>
    <w:p>
      <w:pPr>
        <w:pageBreakBefore w:val="0"/>
        <w:kinsoku/>
        <w:wordWrap/>
        <w:overflowPunct/>
        <w:topLinePunct w:val="0"/>
        <w:bidi w:val="0"/>
        <w:snapToGrid w:val="0"/>
        <w:spacing w:line="360" w:lineRule="auto"/>
        <w:ind w:firstLine="480" w:firstLineChars="200"/>
        <w:rPr>
          <w:color w:val="000000"/>
          <w:sz w:val="24"/>
          <w:szCs w:val="24"/>
        </w:rPr>
      </w:pPr>
      <w:r>
        <w:rPr>
          <w:rFonts w:hint="eastAsia"/>
          <w:color w:val="000000"/>
          <w:sz w:val="24"/>
          <w:szCs w:val="24"/>
        </w:rPr>
        <w:t>30.5.3 不同投标人的投标文件载明的项目管理成员或者联系人员为同一人。</w:t>
      </w:r>
    </w:p>
    <w:p>
      <w:pPr>
        <w:pageBreakBefore w:val="0"/>
        <w:kinsoku/>
        <w:wordWrap/>
        <w:overflowPunct/>
        <w:topLinePunct w:val="0"/>
        <w:bidi w:val="0"/>
        <w:snapToGrid w:val="0"/>
        <w:spacing w:line="360" w:lineRule="auto"/>
        <w:ind w:firstLine="480" w:firstLineChars="200"/>
        <w:rPr>
          <w:color w:val="000000"/>
          <w:sz w:val="24"/>
          <w:szCs w:val="24"/>
        </w:rPr>
      </w:pPr>
      <w:r>
        <w:rPr>
          <w:rFonts w:hint="eastAsia"/>
          <w:color w:val="000000"/>
          <w:sz w:val="24"/>
          <w:szCs w:val="24"/>
        </w:rPr>
        <w:t>30.5.4不同投标人的投标文件异常一致或者投标报价呈规律性差异。</w:t>
      </w:r>
    </w:p>
    <w:p>
      <w:pPr>
        <w:pageBreakBefore w:val="0"/>
        <w:kinsoku/>
        <w:wordWrap/>
        <w:overflowPunct/>
        <w:topLinePunct w:val="0"/>
        <w:bidi w:val="0"/>
        <w:snapToGrid w:val="0"/>
        <w:spacing w:line="360" w:lineRule="auto"/>
        <w:ind w:firstLine="480" w:firstLineChars="200"/>
        <w:rPr>
          <w:color w:val="000000"/>
          <w:sz w:val="24"/>
          <w:szCs w:val="24"/>
        </w:rPr>
      </w:pPr>
      <w:r>
        <w:rPr>
          <w:rFonts w:hint="eastAsia"/>
          <w:color w:val="000000"/>
          <w:sz w:val="24"/>
          <w:szCs w:val="24"/>
        </w:rPr>
        <w:t>30.5.5不同投标人的投标文件相互混装。</w:t>
      </w:r>
    </w:p>
    <w:p>
      <w:pPr>
        <w:pageBreakBefore w:val="0"/>
        <w:widowControl/>
        <w:shd w:val="clear" w:color="auto" w:fill="FFFFFF"/>
        <w:kinsoku/>
        <w:wordWrap/>
        <w:overflowPunct/>
        <w:topLinePunct w:val="0"/>
        <w:bidi w:val="0"/>
        <w:spacing w:line="360" w:lineRule="auto"/>
        <w:ind w:firstLine="482" w:firstLineChars="200"/>
        <w:rPr>
          <w:b/>
          <w:sz w:val="24"/>
          <w:szCs w:val="24"/>
        </w:rPr>
      </w:pPr>
      <w:r>
        <w:rPr>
          <w:rFonts w:hint="eastAsia"/>
          <w:b/>
          <w:sz w:val="24"/>
          <w:szCs w:val="24"/>
        </w:rPr>
        <w:t>31.质疑处理</w:t>
      </w:r>
      <w:bookmarkEnd w:id="117"/>
    </w:p>
    <w:p>
      <w:pPr>
        <w:pageBreakBefore w:val="0"/>
        <w:kinsoku/>
        <w:wordWrap/>
        <w:overflowPunct/>
        <w:topLinePunct w:val="0"/>
        <w:bidi w:val="0"/>
        <w:snapToGrid w:val="0"/>
        <w:spacing w:line="360" w:lineRule="auto"/>
        <w:ind w:firstLine="480" w:firstLineChars="200"/>
        <w:rPr>
          <w:color w:val="000000"/>
          <w:sz w:val="24"/>
          <w:szCs w:val="24"/>
        </w:rPr>
      </w:pPr>
      <w:r>
        <w:rPr>
          <w:rFonts w:hint="eastAsia"/>
          <w:color w:val="000000"/>
          <w:sz w:val="24"/>
          <w:szCs w:val="24"/>
        </w:rPr>
        <w:t>31.1参加投标供应商认为招标文件、采购过程和中标结果使自己的权益受到损害的，可以在知道或应知其权益受到损害之日起七个工作日内，以书面形式向代理机构或采购人提出质疑。上述应知其权益受到损害之日，是指：</w:t>
      </w:r>
    </w:p>
    <w:p>
      <w:pPr>
        <w:pageBreakBefore w:val="0"/>
        <w:kinsoku/>
        <w:wordWrap/>
        <w:overflowPunct/>
        <w:topLinePunct w:val="0"/>
        <w:bidi w:val="0"/>
        <w:snapToGrid w:val="0"/>
        <w:spacing w:line="360" w:lineRule="auto"/>
        <w:ind w:firstLine="480" w:firstLineChars="200"/>
        <w:rPr>
          <w:color w:val="000000"/>
          <w:kern w:val="0"/>
          <w:sz w:val="24"/>
          <w:szCs w:val="24"/>
        </w:rPr>
      </w:pPr>
      <w:r>
        <w:rPr>
          <w:rFonts w:hint="eastAsia"/>
          <w:color w:val="000000"/>
          <w:sz w:val="24"/>
          <w:szCs w:val="24"/>
        </w:rPr>
        <w:t>31.1.1</w:t>
      </w:r>
      <w:r>
        <w:rPr>
          <w:color w:val="000000"/>
          <w:kern w:val="0"/>
          <w:sz w:val="24"/>
          <w:szCs w:val="24"/>
        </w:rPr>
        <w:t>对可以质疑的</w:t>
      </w:r>
      <w:r>
        <w:rPr>
          <w:rFonts w:hint="eastAsia"/>
          <w:color w:val="000000"/>
          <w:kern w:val="0"/>
          <w:sz w:val="24"/>
          <w:szCs w:val="24"/>
        </w:rPr>
        <w:t>招标</w:t>
      </w:r>
      <w:r>
        <w:rPr>
          <w:color w:val="000000"/>
          <w:kern w:val="0"/>
          <w:sz w:val="24"/>
          <w:szCs w:val="24"/>
        </w:rPr>
        <w:t>文件提出质疑的，为收到</w:t>
      </w:r>
      <w:r>
        <w:rPr>
          <w:rFonts w:hint="eastAsia"/>
          <w:color w:val="000000"/>
          <w:kern w:val="0"/>
          <w:sz w:val="24"/>
          <w:szCs w:val="24"/>
        </w:rPr>
        <w:t>招标</w:t>
      </w:r>
      <w:r>
        <w:rPr>
          <w:color w:val="000000"/>
          <w:kern w:val="0"/>
          <w:sz w:val="24"/>
          <w:szCs w:val="24"/>
        </w:rPr>
        <w:t>文件之日或者</w:t>
      </w:r>
      <w:r>
        <w:rPr>
          <w:rFonts w:hint="eastAsia"/>
          <w:color w:val="000000"/>
          <w:kern w:val="0"/>
          <w:sz w:val="24"/>
          <w:szCs w:val="24"/>
        </w:rPr>
        <w:t>招标</w:t>
      </w:r>
      <w:r>
        <w:rPr>
          <w:color w:val="000000"/>
          <w:kern w:val="0"/>
          <w:sz w:val="24"/>
          <w:szCs w:val="24"/>
        </w:rPr>
        <w:t>文件公告期限届满之日；</w:t>
      </w:r>
    </w:p>
    <w:p>
      <w:pPr>
        <w:pageBreakBefore w:val="0"/>
        <w:kinsoku/>
        <w:wordWrap/>
        <w:overflowPunct/>
        <w:topLinePunct w:val="0"/>
        <w:bidi w:val="0"/>
        <w:snapToGrid w:val="0"/>
        <w:spacing w:line="360" w:lineRule="auto"/>
        <w:ind w:firstLine="480" w:firstLineChars="200"/>
        <w:rPr>
          <w:color w:val="000000"/>
          <w:kern w:val="0"/>
          <w:sz w:val="24"/>
          <w:szCs w:val="24"/>
        </w:rPr>
      </w:pPr>
      <w:r>
        <w:rPr>
          <w:rFonts w:hint="eastAsia"/>
          <w:color w:val="000000"/>
          <w:sz w:val="24"/>
          <w:szCs w:val="24"/>
        </w:rPr>
        <w:t>31.1.2</w:t>
      </w:r>
      <w:r>
        <w:rPr>
          <w:color w:val="000000"/>
          <w:kern w:val="0"/>
          <w:sz w:val="24"/>
          <w:szCs w:val="24"/>
        </w:rPr>
        <w:t>对采购过程提出质疑的，为各采购程序环节结束之日；</w:t>
      </w:r>
    </w:p>
    <w:p>
      <w:pPr>
        <w:pageBreakBefore w:val="0"/>
        <w:kinsoku/>
        <w:wordWrap/>
        <w:overflowPunct/>
        <w:topLinePunct w:val="0"/>
        <w:bidi w:val="0"/>
        <w:snapToGrid w:val="0"/>
        <w:spacing w:line="360" w:lineRule="auto"/>
        <w:ind w:firstLine="480" w:firstLineChars="200"/>
        <w:rPr>
          <w:color w:val="000000"/>
          <w:sz w:val="24"/>
          <w:szCs w:val="24"/>
        </w:rPr>
      </w:pPr>
      <w:r>
        <w:rPr>
          <w:rFonts w:hint="eastAsia"/>
          <w:color w:val="000000"/>
          <w:sz w:val="24"/>
          <w:szCs w:val="24"/>
        </w:rPr>
        <w:t>31.1.3</w:t>
      </w:r>
      <w:r>
        <w:rPr>
          <w:color w:val="000000"/>
          <w:kern w:val="0"/>
          <w:sz w:val="24"/>
          <w:szCs w:val="24"/>
        </w:rPr>
        <w:t>对中标结果提出质疑的，为中标结果公告期限届满之日。</w:t>
      </w:r>
    </w:p>
    <w:p>
      <w:pPr>
        <w:pageBreakBefore w:val="0"/>
        <w:kinsoku/>
        <w:wordWrap/>
        <w:overflowPunct/>
        <w:topLinePunct w:val="0"/>
        <w:bidi w:val="0"/>
        <w:snapToGrid w:val="0"/>
        <w:spacing w:line="360" w:lineRule="auto"/>
        <w:ind w:firstLine="480" w:firstLineChars="200"/>
        <w:rPr>
          <w:color w:val="000000"/>
          <w:kern w:val="0"/>
          <w:sz w:val="24"/>
          <w:szCs w:val="24"/>
        </w:rPr>
      </w:pPr>
      <w:r>
        <w:rPr>
          <w:rFonts w:hint="eastAsia"/>
          <w:color w:val="000000"/>
          <w:sz w:val="24"/>
          <w:szCs w:val="24"/>
        </w:rPr>
        <w:t>31.2</w:t>
      </w:r>
      <w:r>
        <w:rPr>
          <w:rFonts w:hint="eastAsia"/>
          <w:color w:val="000000"/>
          <w:kern w:val="0"/>
          <w:sz w:val="24"/>
          <w:szCs w:val="24"/>
        </w:rPr>
        <w:t>质疑必须按《政府采购法》、《政府采购法实施条例》及《江苏省政府采购供应商监督管理暂行办法》的相关规定提交，未按上述要求提交的质疑函（含传真、电子邮件等）采购人有权不予受理。</w:t>
      </w:r>
    </w:p>
    <w:p>
      <w:pPr>
        <w:pageBreakBefore w:val="0"/>
        <w:kinsoku/>
        <w:wordWrap/>
        <w:overflowPunct/>
        <w:topLinePunct w:val="0"/>
        <w:bidi w:val="0"/>
        <w:snapToGrid w:val="0"/>
        <w:spacing w:line="360" w:lineRule="auto"/>
        <w:ind w:firstLine="480" w:firstLineChars="200"/>
        <w:rPr>
          <w:color w:val="000000"/>
          <w:sz w:val="24"/>
          <w:szCs w:val="24"/>
        </w:rPr>
      </w:pPr>
      <w:r>
        <w:rPr>
          <w:rFonts w:hint="eastAsia"/>
          <w:color w:val="000000"/>
          <w:sz w:val="24"/>
          <w:szCs w:val="24"/>
        </w:rPr>
        <w:t>31.3未参加投标活动的供应商或在投标活动中自身权益未受到损害的供应商所提出的质疑不予受理。</w:t>
      </w:r>
    </w:p>
    <w:p>
      <w:pPr>
        <w:pageBreakBefore w:val="0"/>
        <w:kinsoku/>
        <w:wordWrap/>
        <w:overflowPunct/>
        <w:topLinePunct w:val="0"/>
        <w:bidi w:val="0"/>
        <w:snapToGrid w:val="0"/>
        <w:spacing w:line="360" w:lineRule="auto"/>
        <w:ind w:firstLine="480" w:firstLineChars="200"/>
        <w:rPr>
          <w:color w:val="000000"/>
          <w:sz w:val="24"/>
          <w:szCs w:val="24"/>
        </w:rPr>
      </w:pPr>
      <w:r>
        <w:rPr>
          <w:rFonts w:hint="eastAsia"/>
          <w:color w:val="000000"/>
          <w:sz w:val="24"/>
          <w:szCs w:val="24"/>
        </w:rPr>
        <w:t>31.4质疑函应当包括下列内容：</w:t>
      </w:r>
    </w:p>
    <w:p>
      <w:pPr>
        <w:pageBreakBefore w:val="0"/>
        <w:kinsoku/>
        <w:wordWrap/>
        <w:overflowPunct/>
        <w:topLinePunct w:val="0"/>
        <w:bidi w:val="0"/>
        <w:snapToGrid w:val="0"/>
        <w:spacing w:line="360" w:lineRule="auto"/>
        <w:ind w:firstLine="480" w:firstLineChars="200"/>
        <w:rPr>
          <w:color w:val="000000"/>
          <w:sz w:val="24"/>
          <w:szCs w:val="24"/>
        </w:rPr>
      </w:pPr>
      <w:r>
        <w:rPr>
          <w:rFonts w:hint="eastAsia"/>
          <w:color w:val="000000"/>
          <w:sz w:val="24"/>
          <w:szCs w:val="24"/>
        </w:rPr>
        <w:t>31.4.1质疑投标人的名称、地址、邮编、联系人、联系电话；</w:t>
      </w:r>
    </w:p>
    <w:p>
      <w:pPr>
        <w:pageBreakBefore w:val="0"/>
        <w:kinsoku/>
        <w:wordWrap/>
        <w:overflowPunct/>
        <w:topLinePunct w:val="0"/>
        <w:bidi w:val="0"/>
        <w:snapToGrid w:val="0"/>
        <w:spacing w:line="360" w:lineRule="auto"/>
        <w:ind w:firstLine="480" w:firstLineChars="200"/>
        <w:rPr>
          <w:color w:val="000000"/>
          <w:sz w:val="24"/>
          <w:szCs w:val="24"/>
        </w:rPr>
      </w:pPr>
      <w:r>
        <w:rPr>
          <w:rFonts w:hint="eastAsia"/>
          <w:color w:val="000000"/>
          <w:sz w:val="24"/>
          <w:szCs w:val="24"/>
        </w:rPr>
        <w:t>31.4.2具体的质疑事项及明确的请求；</w:t>
      </w:r>
    </w:p>
    <w:p>
      <w:pPr>
        <w:pageBreakBefore w:val="0"/>
        <w:kinsoku/>
        <w:wordWrap/>
        <w:overflowPunct/>
        <w:topLinePunct w:val="0"/>
        <w:bidi w:val="0"/>
        <w:snapToGrid w:val="0"/>
        <w:spacing w:line="360" w:lineRule="auto"/>
        <w:ind w:firstLine="480" w:firstLineChars="200"/>
        <w:rPr>
          <w:color w:val="000000"/>
          <w:sz w:val="24"/>
          <w:szCs w:val="24"/>
        </w:rPr>
      </w:pPr>
      <w:r>
        <w:rPr>
          <w:rFonts w:hint="eastAsia"/>
          <w:color w:val="000000"/>
          <w:sz w:val="24"/>
          <w:szCs w:val="24"/>
        </w:rPr>
        <w:t>31.4.3认为自己合法权益受到损害或可能受到损害的相关证据材料；</w:t>
      </w:r>
    </w:p>
    <w:p>
      <w:pPr>
        <w:pageBreakBefore w:val="0"/>
        <w:kinsoku/>
        <w:wordWrap/>
        <w:overflowPunct/>
        <w:topLinePunct w:val="0"/>
        <w:bidi w:val="0"/>
        <w:snapToGrid w:val="0"/>
        <w:spacing w:line="360" w:lineRule="auto"/>
        <w:ind w:firstLine="480" w:firstLineChars="200"/>
        <w:rPr>
          <w:color w:val="000000"/>
          <w:sz w:val="24"/>
          <w:szCs w:val="24"/>
        </w:rPr>
      </w:pPr>
      <w:r>
        <w:rPr>
          <w:rFonts w:hint="eastAsia"/>
          <w:color w:val="000000"/>
          <w:sz w:val="24"/>
          <w:szCs w:val="24"/>
        </w:rPr>
        <w:t>31.4.4提起质疑的日期；</w:t>
      </w:r>
    </w:p>
    <w:p>
      <w:pPr>
        <w:pageBreakBefore w:val="0"/>
        <w:kinsoku/>
        <w:wordWrap/>
        <w:overflowPunct/>
        <w:topLinePunct w:val="0"/>
        <w:bidi w:val="0"/>
        <w:snapToGrid w:val="0"/>
        <w:spacing w:line="360" w:lineRule="auto"/>
        <w:ind w:firstLine="480" w:firstLineChars="200"/>
        <w:rPr>
          <w:color w:val="000000"/>
          <w:sz w:val="24"/>
          <w:szCs w:val="24"/>
        </w:rPr>
      </w:pPr>
      <w:r>
        <w:rPr>
          <w:rFonts w:hint="eastAsia"/>
          <w:color w:val="000000"/>
          <w:sz w:val="24"/>
          <w:szCs w:val="24"/>
        </w:rPr>
        <w:t>31.4.5质疑函应当署名：质疑人为自然人的，应当由本人签字并附有效身份证</w:t>
      </w:r>
    </w:p>
    <w:p>
      <w:pPr>
        <w:pageBreakBefore w:val="0"/>
        <w:kinsoku/>
        <w:wordWrap/>
        <w:overflowPunct/>
        <w:topLinePunct w:val="0"/>
        <w:bidi w:val="0"/>
        <w:snapToGrid w:val="0"/>
        <w:spacing w:line="360" w:lineRule="auto"/>
        <w:rPr>
          <w:color w:val="000000"/>
          <w:sz w:val="24"/>
          <w:szCs w:val="24"/>
        </w:rPr>
      </w:pPr>
      <w:r>
        <w:rPr>
          <w:rFonts w:hint="eastAsia"/>
          <w:color w:val="000000"/>
          <w:sz w:val="24"/>
          <w:szCs w:val="24"/>
        </w:rPr>
        <w:t>明；质疑人为法人或其他组织的，应当由法定代表人签字并加盖单位公章。（质疑人为联合体的，则联合体各方法定代表人均须签字并加盖单位公章），未按要求签字和盖章的为无效质疑，采购人将不予受理。)质疑人委托代理质疑的，应当向采购人提交授权委托书，并载明委托代理的具体权限和事项。</w:t>
      </w:r>
    </w:p>
    <w:p>
      <w:pPr>
        <w:pageBreakBefore w:val="0"/>
        <w:kinsoku/>
        <w:wordWrap/>
        <w:overflowPunct/>
        <w:topLinePunct w:val="0"/>
        <w:bidi w:val="0"/>
        <w:snapToGrid w:val="0"/>
        <w:spacing w:line="360" w:lineRule="auto"/>
        <w:ind w:firstLine="480" w:firstLineChars="200"/>
        <w:rPr>
          <w:color w:val="000000"/>
          <w:sz w:val="24"/>
          <w:szCs w:val="24"/>
        </w:rPr>
      </w:pPr>
      <w:r>
        <w:rPr>
          <w:rFonts w:hint="eastAsia"/>
          <w:color w:val="000000"/>
          <w:sz w:val="24"/>
          <w:szCs w:val="24"/>
        </w:rPr>
        <w:t>31.5采购人收到质疑函后，将对质疑的形式和内容进行审查，如质疑函内容、格式不符合规定，采购人将告知质疑人进行补正。</w:t>
      </w:r>
    </w:p>
    <w:p>
      <w:pPr>
        <w:pageBreakBefore w:val="0"/>
        <w:kinsoku/>
        <w:wordWrap/>
        <w:overflowPunct/>
        <w:topLinePunct w:val="0"/>
        <w:bidi w:val="0"/>
        <w:snapToGrid w:val="0"/>
        <w:spacing w:line="360" w:lineRule="auto"/>
        <w:ind w:firstLine="480" w:firstLineChars="200"/>
        <w:rPr>
          <w:color w:val="000000"/>
          <w:sz w:val="24"/>
          <w:szCs w:val="24"/>
        </w:rPr>
      </w:pPr>
      <w:r>
        <w:rPr>
          <w:rFonts w:hint="eastAsia"/>
          <w:color w:val="000000"/>
          <w:sz w:val="24"/>
          <w:szCs w:val="24"/>
        </w:rPr>
        <w:t>31.6质疑人应当在法定质疑期限内进行补正并重新提交质疑函，拒不补正或者在法定期限内未重新提交质疑函的，为无效质疑，采购人将不予受理。</w:t>
      </w:r>
    </w:p>
    <w:p>
      <w:pPr>
        <w:pageBreakBefore w:val="0"/>
        <w:kinsoku/>
        <w:wordWrap/>
        <w:overflowPunct/>
        <w:topLinePunct w:val="0"/>
        <w:bidi w:val="0"/>
        <w:snapToGrid w:val="0"/>
        <w:spacing w:line="360" w:lineRule="auto"/>
        <w:ind w:firstLine="480" w:firstLineChars="200"/>
        <w:rPr>
          <w:color w:val="000000"/>
          <w:sz w:val="24"/>
          <w:szCs w:val="24"/>
        </w:rPr>
      </w:pPr>
      <w:r>
        <w:rPr>
          <w:rFonts w:hint="eastAsia"/>
          <w:color w:val="000000"/>
          <w:sz w:val="24"/>
          <w:szCs w:val="24"/>
        </w:rPr>
        <w:t>31.7对于内容、格式符合规定的质疑函，采购人应当在收到投标供应商的书面质疑后七个工作日内作出答复，并以书面形式通知质疑供应商和其他有关供应商，但答复的内容不得涉及商业秘密。</w:t>
      </w:r>
    </w:p>
    <w:p>
      <w:pPr>
        <w:pageBreakBefore w:val="0"/>
        <w:kinsoku/>
        <w:wordWrap/>
        <w:overflowPunct/>
        <w:topLinePunct w:val="0"/>
        <w:bidi w:val="0"/>
        <w:snapToGrid w:val="0"/>
        <w:spacing w:line="360" w:lineRule="auto"/>
        <w:ind w:firstLine="480" w:firstLineChars="200"/>
        <w:rPr>
          <w:color w:val="000000"/>
          <w:sz w:val="24"/>
          <w:szCs w:val="24"/>
        </w:rPr>
      </w:pPr>
      <w:r>
        <w:rPr>
          <w:rFonts w:hint="eastAsia"/>
          <w:color w:val="000000"/>
          <w:sz w:val="24"/>
          <w:szCs w:val="24"/>
        </w:rPr>
        <w:t>31.8投标人提出书面质疑必须有理、有据，不得恶意质疑或提交虚假质疑。否则，一经查实，采购人有权依据政府采购的有关规定，报请政府采购监管部门对该投标人进行相应的行政处罚，并扣减其诚信记录分。</w:t>
      </w:r>
    </w:p>
    <w:p>
      <w:pPr>
        <w:pageBreakBefore w:val="0"/>
        <w:widowControl/>
        <w:shd w:val="clear" w:color="auto" w:fill="FFFFFF"/>
        <w:kinsoku/>
        <w:wordWrap/>
        <w:overflowPunct/>
        <w:topLinePunct w:val="0"/>
        <w:bidi w:val="0"/>
        <w:spacing w:line="360" w:lineRule="auto"/>
        <w:ind w:firstLine="482" w:firstLineChars="200"/>
        <w:rPr>
          <w:b/>
          <w:sz w:val="24"/>
          <w:szCs w:val="24"/>
        </w:rPr>
      </w:pPr>
      <w:r>
        <w:rPr>
          <w:rFonts w:hint="eastAsia"/>
          <w:b/>
          <w:sz w:val="24"/>
          <w:szCs w:val="24"/>
        </w:rPr>
        <w:t>32.中标通知书</w:t>
      </w:r>
    </w:p>
    <w:p>
      <w:pPr>
        <w:pageBreakBefore w:val="0"/>
        <w:kinsoku/>
        <w:wordWrap/>
        <w:overflowPunct/>
        <w:topLinePunct w:val="0"/>
        <w:bidi w:val="0"/>
        <w:snapToGrid w:val="0"/>
        <w:spacing w:line="360" w:lineRule="auto"/>
        <w:ind w:firstLine="480" w:firstLineChars="200"/>
        <w:rPr>
          <w:color w:val="000000"/>
          <w:sz w:val="24"/>
          <w:szCs w:val="24"/>
        </w:rPr>
      </w:pPr>
      <w:r>
        <w:rPr>
          <w:rFonts w:hint="eastAsia"/>
          <w:color w:val="000000"/>
          <w:sz w:val="24"/>
          <w:szCs w:val="24"/>
        </w:rPr>
        <w:t>32.l</w:t>
      </w:r>
      <w:r>
        <w:rPr>
          <w:rFonts w:hint="eastAsia"/>
          <w:b/>
          <w:color w:val="000000"/>
          <w:sz w:val="24"/>
          <w:szCs w:val="24"/>
        </w:rPr>
        <w:t xml:space="preserve"> </w:t>
      </w:r>
      <w:r>
        <w:rPr>
          <w:rFonts w:hint="eastAsia"/>
          <w:color w:val="000000"/>
          <w:sz w:val="24"/>
          <w:szCs w:val="24"/>
        </w:rPr>
        <w:t>中标结果确定后，采购人将向中标人发出中标通知书。</w:t>
      </w:r>
    </w:p>
    <w:p>
      <w:pPr>
        <w:pageBreakBefore w:val="0"/>
        <w:kinsoku/>
        <w:wordWrap/>
        <w:overflowPunct/>
        <w:topLinePunct w:val="0"/>
        <w:bidi w:val="0"/>
        <w:snapToGrid w:val="0"/>
        <w:spacing w:line="360" w:lineRule="auto"/>
        <w:ind w:firstLine="480" w:firstLineChars="200"/>
        <w:rPr>
          <w:color w:val="000000"/>
          <w:sz w:val="24"/>
          <w:szCs w:val="24"/>
        </w:rPr>
      </w:pPr>
      <w:r>
        <w:rPr>
          <w:rFonts w:hint="eastAsia"/>
          <w:color w:val="000000"/>
          <w:sz w:val="24"/>
          <w:szCs w:val="24"/>
        </w:rPr>
        <w:t>32.2中标通知书将是合同的一个组成部分。对采购人和中标人均具有法律效力。中标通知书发出后，采购人改变中标结果的，或者中标人放弃中标项目的，应当依法承担法律责任。</w:t>
      </w:r>
    </w:p>
    <w:p>
      <w:pPr>
        <w:pageBreakBefore w:val="0"/>
        <w:widowControl/>
        <w:shd w:val="clear" w:color="auto" w:fill="FFFFFF"/>
        <w:kinsoku/>
        <w:wordWrap/>
        <w:overflowPunct/>
        <w:topLinePunct w:val="0"/>
        <w:bidi w:val="0"/>
        <w:spacing w:line="360" w:lineRule="auto"/>
        <w:ind w:firstLine="482" w:firstLineChars="200"/>
        <w:rPr>
          <w:b/>
          <w:sz w:val="24"/>
          <w:szCs w:val="24"/>
        </w:rPr>
      </w:pPr>
      <w:bookmarkStart w:id="118" w:name="_Toc120614220"/>
      <w:bookmarkStart w:id="119" w:name="_Toc20823308"/>
      <w:bookmarkStart w:id="120" w:name="_Toc513029236"/>
      <w:bookmarkStart w:id="121" w:name="_Toc16938552"/>
      <w:r>
        <w:rPr>
          <w:rFonts w:hint="eastAsia"/>
          <w:b/>
          <w:sz w:val="24"/>
          <w:szCs w:val="24"/>
        </w:rPr>
        <w:t>七、合同</w:t>
      </w:r>
      <w:bookmarkEnd w:id="118"/>
      <w:r>
        <w:rPr>
          <w:rFonts w:hint="eastAsia"/>
          <w:b/>
          <w:sz w:val="24"/>
          <w:szCs w:val="24"/>
        </w:rPr>
        <w:t>签订相关事项</w:t>
      </w:r>
    </w:p>
    <w:bookmarkEnd w:id="119"/>
    <w:bookmarkEnd w:id="120"/>
    <w:bookmarkEnd w:id="121"/>
    <w:p>
      <w:pPr>
        <w:pageBreakBefore w:val="0"/>
        <w:widowControl/>
        <w:shd w:val="clear" w:color="auto" w:fill="FFFFFF"/>
        <w:kinsoku/>
        <w:wordWrap/>
        <w:overflowPunct/>
        <w:topLinePunct w:val="0"/>
        <w:bidi w:val="0"/>
        <w:spacing w:line="360" w:lineRule="auto"/>
        <w:ind w:firstLine="482" w:firstLineChars="200"/>
        <w:rPr>
          <w:b/>
          <w:sz w:val="24"/>
          <w:szCs w:val="24"/>
        </w:rPr>
      </w:pPr>
      <w:bookmarkStart w:id="122" w:name="_Toc16938553"/>
      <w:bookmarkStart w:id="123" w:name="_Toc513029237"/>
      <w:bookmarkStart w:id="124" w:name="_Toc20823309"/>
      <w:r>
        <w:rPr>
          <w:rFonts w:hint="eastAsia"/>
          <w:b/>
          <w:sz w:val="24"/>
          <w:szCs w:val="24"/>
        </w:rPr>
        <w:t>33.签订合同</w:t>
      </w:r>
    </w:p>
    <w:p>
      <w:pPr>
        <w:pageBreakBefore w:val="0"/>
        <w:kinsoku/>
        <w:wordWrap/>
        <w:overflowPunct/>
        <w:topLinePunct w:val="0"/>
        <w:bidi w:val="0"/>
        <w:snapToGrid w:val="0"/>
        <w:spacing w:line="360" w:lineRule="auto"/>
        <w:ind w:firstLine="480" w:firstLineChars="200"/>
        <w:rPr>
          <w:color w:val="000000"/>
          <w:sz w:val="24"/>
          <w:szCs w:val="24"/>
        </w:rPr>
      </w:pPr>
      <w:r>
        <w:rPr>
          <w:rFonts w:hint="eastAsia"/>
          <w:bCs/>
          <w:color w:val="000000"/>
          <w:sz w:val="24"/>
          <w:szCs w:val="24"/>
        </w:rPr>
        <w:t>33</w:t>
      </w:r>
      <w:r>
        <w:rPr>
          <w:rFonts w:hint="eastAsia"/>
          <w:color w:val="000000"/>
          <w:sz w:val="24"/>
          <w:szCs w:val="24"/>
        </w:rPr>
        <w:t>.l中标人应按中标通知书规定的时间、地点,按照招标文件确定的事项与采购人签订政府采购合同，且不得迟于中标通知书发出之日起三十日，由此给采购人造成损失的，中标人还应承担赔偿责任。</w:t>
      </w:r>
    </w:p>
    <w:p>
      <w:pPr>
        <w:pageBreakBefore w:val="0"/>
        <w:kinsoku/>
        <w:wordWrap/>
        <w:overflowPunct/>
        <w:topLinePunct w:val="0"/>
        <w:bidi w:val="0"/>
        <w:snapToGrid w:val="0"/>
        <w:spacing w:line="360" w:lineRule="auto"/>
        <w:ind w:firstLine="480" w:firstLineChars="200"/>
        <w:rPr>
          <w:color w:val="000000"/>
          <w:sz w:val="24"/>
          <w:szCs w:val="24"/>
        </w:rPr>
      </w:pPr>
      <w:r>
        <w:rPr>
          <w:rFonts w:hint="eastAsia"/>
          <w:color w:val="000000"/>
          <w:sz w:val="24"/>
          <w:szCs w:val="24"/>
        </w:rPr>
        <w:t>33.2</w:t>
      </w:r>
      <w:r>
        <w:rPr>
          <w:rFonts w:hint="eastAsia"/>
          <w:b/>
          <w:color w:val="000000"/>
          <w:sz w:val="24"/>
          <w:szCs w:val="24"/>
        </w:rPr>
        <w:t xml:space="preserve"> </w:t>
      </w:r>
      <w:r>
        <w:rPr>
          <w:rFonts w:hint="eastAsia"/>
          <w:color w:val="000000"/>
          <w:sz w:val="24"/>
          <w:szCs w:val="24"/>
        </w:rPr>
        <w:t>招标文件、中标人的投标文件及招标过程中有关澄清、承诺文件均应作为合同附件。</w:t>
      </w:r>
    </w:p>
    <w:p>
      <w:pPr>
        <w:pageBreakBefore w:val="0"/>
        <w:kinsoku/>
        <w:wordWrap/>
        <w:overflowPunct/>
        <w:topLinePunct w:val="0"/>
        <w:bidi w:val="0"/>
        <w:snapToGrid w:val="0"/>
        <w:spacing w:line="360" w:lineRule="auto"/>
        <w:ind w:firstLine="480" w:firstLineChars="200"/>
        <w:rPr>
          <w:color w:val="000000"/>
          <w:sz w:val="24"/>
          <w:szCs w:val="24"/>
        </w:rPr>
      </w:pPr>
      <w:r>
        <w:rPr>
          <w:rFonts w:hint="eastAsia"/>
          <w:color w:val="000000"/>
          <w:sz w:val="24"/>
          <w:szCs w:val="24"/>
        </w:rPr>
        <w:t>33.3 签订合同后，中标人不得将相关服务进行转包。未经采购人同意，中标人也不得采用分包的形式履行合同，否则采购人有权终止合同，中标人的履约保证金将不予退还。转包或分包造成采购人损失的，中标人应承担相应赔偿责任。</w:t>
      </w:r>
    </w:p>
    <w:p>
      <w:pPr>
        <w:pageBreakBefore w:val="0"/>
        <w:kinsoku/>
        <w:wordWrap/>
        <w:overflowPunct/>
        <w:topLinePunct w:val="0"/>
        <w:bidi w:val="0"/>
        <w:snapToGrid w:val="0"/>
        <w:spacing w:line="360" w:lineRule="auto"/>
        <w:ind w:firstLine="482" w:firstLineChars="200"/>
        <w:rPr>
          <w:color w:val="000000"/>
          <w:sz w:val="24"/>
          <w:szCs w:val="24"/>
        </w:rPr>
      </w:pPr>
      <w:r>
        <w:rPr>
          <w:rFonts w:hint="eastAsia"/>
          <w:b/>
          <w:bCs/>
          <w:color w:val="000000"/>
          <w:sz w:val="24"/>
          <w:szCs w:val="24"/>
        </w:rPr>
        <w:t>33.4中标或者成交后无正当理由拒不与采购人签订政府采购合同的，将被列入不良行为记录名单，在一至三年内禁止参加政府采购活动。</w:t>
      </w:r>
    </w:p>
    <w:p>
      <w:pPr>
        <w:pageBreakBefore w:val="0"/>
        <w:widowControl/>
        <w:shd w:val="clear" w:color="auto" w:fill="FFFFFF"/>
        <w:kinsoku/>
        <w:wordWrap/>
        <w:overflowPunct/>
        <w:topLinePunct w:val="0"/>
        <w:bidi w:val="0"/>
        <w:spacing w:line="360" w:lineRule="auto"/>
        <w:ind w:firstLine="482" w:firstLineChars="200"/>
        <w:rPr>
          <w:b/>
          <w:sz w:val="24"/>
          <w:szCs w:val="24"/>
        </w:rPr>
      </w:pPr>
      <w:r>
        <w:rPr>
          <w:rFonts w:hint="eastAsia"/>
          <w:b/>
          <w:sz w:val="24"/>
          <w:szCs w:val="24"/>
        </w:rPr>
        <w:t>34.服务的追加、减少和添购。</w:t>
      </w:r>
    </w:p>
    <w:p>
      <w:pPr>
        <w:pageBreakBefore w:val="0"/>
        <w:kinsoku/>
        <w:wordWrap/>
        <w:overflowPunct/>
        <w:topLinePunct w:val="0"/>
        <w:bidi w:val="0"/>
        <w:spacing w:line="360" w:lineRule="auto"/>
        <w:ind w:firstLine="480" w:firstLineChars="200"/>
        <w:rPr>
          <w:color w:val="000000"/>
          <w:sz w:val="24"/>
          <w:szCs w:val="24"/>
        </w:rPr>
      </w:pPr>
      <w:r>
        <w:rPr>
          <w:rFonts w:hint="eastAsia"/>
          <w:color w:val="000000"/>
          <w:sz w:val="24"/>
          <w:szCs w:val="24"/>
        </w:rPr>
        <w:t>34.1政府采购合同履行中，采购人需追加与合同标的相同的服务的，在不改变合同其他条款的前提下，可以与中标人协商签订补充合同。</w:t>
      </w:r>
    </w:p>
    <w:p>
      <w:pPr>
        <w:pageBreakBefore w:val="0"/>
        <w:kinsoku/>
        <w:wordWrap/>
        <w:overflowPunct/>
        <w:topLinePunct w:val="0"/>
        <w:bidi w:val="0"/>
        <w:spacing w:line="360" w:lineRule="auto"/>
        <w:ind w:firstLine="480" w:firstLineChars="200"/>
        <w:rPr>
          <w:color w:val="000000"/>
          <w:sz w:val="24"/>
          <w:szCs w:val="24"/>
        </w:rPr>
      </w:pPr>
      <w:r>
        <w:rPr>
          <w:rFonts w:hint="eastAsia"/>
          <w:color w:val="000000"/>
          <w:sz w:val="24"/>
          <w:szCs w:val="24"/>
        </w:rPr>
        <w:t>34.2采购结束后，采购人若由于各种客观原因，必须对采购项目所牵涉的服务进行适当的减少时，在双方协商一致的前提下，可以按照招标采购时的价格水平做相应的调减，并据此签订补充合同。</w:t>
      </w:r>
    </w:p>
    <w:p>
      <w:pPr>
        <w:pageBreakBefore w:val="0"/>
        <w:kinsoku/>
        <w:wordWrap/>
        <w:overflowPunct/>
        <w:topLinePunct w:val="0"/>
        <w:bidi w:val="0"/>
        <w:spacing w:line="360" w:lineRule="auto"/>
        <w:ind w:firstLine="480" w:firstLineChars="200"/>
        <w:rPr>
          <w:b/>
          <w:color w:val="000000"/>
          <w:sz w:val="24"/>
          <w:szCs w:val="24"/>
        </w:rPr>
      </w:pPr>
      <w:r>
        <w:rPr>
          <w:rFonts w:hint="eastAsia"/>
          <w:color w:val="000000"/>
          <w:sz w:val="24"/>
          <w:szCs w:val="24"/>
        </w:rPr>
        <w:t>3</w:t>
      </w:r>
      <w:r>
        <w:rPr>
          <w:color w:val="000000"/>
          <w:sz w:val="24"/>
          <w:szCs w:val="24"/>
        </w:rPr>
        <w:t>4.3</w:t>
      </w:r>
      <w:r>
        <w:rPr>
          <w:rFonts w:hint="eastAsia"/>
          <w:color w:val="000000"/>
          <w:sz w:val="24"/>
          <w:szCs w:val="24"/>
        </w:rPr>
        <w:t>具体人员增减情况，采购人有权进行调整。</w:t>
      </w:r>
    </w:p>
    <w:bookmarkEnd w:id="122"/>
    <w:bookmarkEnd w:id="123"/>
    <w:bookmarkEnd w:id="124"/>
    <w:p>
      <w:pPr>
        <w:pageBreakBefore w:val="0"/>
        <w:widowControl/>
        <w:shd w:val="clear" w:color="auto" w:fill="FFFFFF"/>
        <w:kinsoku/>
        <w:wordWrap/>
        <w:overflowPunct/>
        <w:topLinePunct w:val="0"/>
        <w:bidi w:val="0"/>
        <w:spacing w:line="360" w:lineRule="auto"/>
        <w:ind w:firstLine="482" w:firstLineChars="200"/>
        <w:rPr>
          <w:b/>
          <w:sz w:val="24"/>
          <w:szCs w:val="24"/>
        </w:rPr>
      </w:pPr>
      <w:r>
        <w:rPr>
          <w:rFonts w:hint="eastAsia"/>
          <w:b/>
          <w:sz w:val="24"/>
          <w:szCs w:val="24"/>
        </w:rPr>
        <w:t>35.履约保证金</w:t>
      </w:r>
    </w:p>
    <w:p>
      <w:pPr>
        <w:pageBreakBefore w:val="0"/>
        <w:tabs>
          <w:tab w:val="left" w:pos="900"/>
        </w:tabs>
        <w:kinsoku/>
        <w:wordWrap/>
        <w:overflowPunct/>
        <w:topLinePunct w:val="0"/>
        <w:bidi w:val="0"/>
        <w:spacing w:line="360" w:lineRule="auto"/>
        <w:ind w:firstLine="480" w:firstLineChars="200"/>
        <w:rPr>
          <w:rFonts w:eastAsia="黑体"/>
          <w:bCs/>
          <w:color w:val="000000"/>
          <w:sz w:val="44"/>
        </w:rPr>
      </w:pPr>
      <w:r>
        <w:rPr>
          <w:rFonts w:hint="eastAsia"/>
          <w:color w:val="000000"/>
          <w:sz w:val="24"/>
          <w:szCs w:val="24"/>
        </w:rPr>
        <w:t>在签订合同时，须向采购人交纳履约保证金,于合同履行后无息退还。履约保证金用以约束成交供应商在合同履行中的行为，弥补合同执行中由于自身行为可能给采购人带来的各种损失。鼓励采购人对AA评级及以上政府采购供应商（需提供信用管理部门备案的第三方信用报告），免收履约保证金或降低履约保证金缴纳比例。</w:t>
      </w:r>
    </w:p>
    <w:p>
      <w:pPr>
        <w:pStyle w:val="25"/>
        <w:pageBreakBefore w:val="0"/>
        <w:kinsoku/>
        <w:wordWrap/>
        <w:overflowPunct/>
        <w:topLinePunct w:val="0"/>
        <w:bidi w:val="0"/>
        <w:spacing w:line="360" w:lineRule="auto"/>
      </w:pPr>
      <w:r>
        <w:rPr>
          <w:rFonts w:eastAsia="黑体"/>
          <w:bCs/>
          <w:sz w:val="44"/>
        </w:rPr>
        <w:br w:type="page"/>
      </w:r>
    </w:p>
    <w:p>
      <w:pPr>
        <w:jc w:val="center"/>
        <w:outlineLvl w:val="0"/>
        <w:rPr>
          <w:rFonts w:eastAsia="黑体"/>
          <w:color w:val="000000" w:themeColor="text1"/>
          <w:sz w:val="40"/>
          <w:szCs w:val="40"/>
        </w:rPr>
      </w:pPr>
      <w:bookmarkStart w:id="125" w:name="_Toc108021874"/>
      <w:r>
        <w:rPr>
          <w:rFonts w:eastAsia="黑体"/>
          <w:color w:val="000000" w:themeColor="text1"/>
          <w:sz w:val="40"/>
          <w:szCs w:val="40"/>
        </w:rPr>
        <w:t>第三章  合同条款及格式</w:t>
      </w:r>
      <w:bookmarkEnd w:id="125"/>
    </w:p>
    <w:p>
      <w:pPr>
        <w:spacing w:line="360" w:lineRule="auto"/>
        <w:ind w:firstLine="480" w:firstLineChars="200"/>
        <w:rPr>
          <w:color w:val="000000" w:themeColor="text1"/>
          <w:sz w:val="24"/>
          <w:szCs w:val="24"/>
        </w:rPr>
      </w:pPr>
    </w:p>
    <w:p>
      <w:pPr>
        <w:spacing w:line="440" w:lineRule="exact"/>
        <w:ind w:firstLine="480" w:firstLineChars="200"/>
        <w:rPr>
          <w:color w:val="000000" w:themeColor="text1"/>
          <w:sz w:val="24"/>
          <w:szCs w:val="24"/>
        </w:rPr>
      </w:pPr>
      <w:r>
        <w:rPr>
          <w:color w:val="000000" w:themeColor="text1"/>
          <w:sz w:val="24"/>
          <w:szCs w:val="24"/>
        </w:rPr>
        <w:t>以下为中标后签订本项目合同的通用条款，中标供应商不得提出实质性的修改，关于专用条款将由采购人与中标供应商结合本项目具体情况协商后签订。此合同为货物类版本，其他如服务类项目采购人可参照此格式拟定。</w:t>
      </w:r>
    </w:p>
    <w:p>
      <w:pPr>
        <w:pStyle w:val="12"/>
        <w:snapToGrid w:val="0"/>
        <w:spacing w:line="440" w:lineRule="exact"/>
        <w:ind w:firstLine="480" w:firstLineChars="20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项目名称：盐城幼儿师范高等专科学校202</w:t>
      </w:r>
      <w:r>
        <w:rPr>
          <w:rFonts w:hint="eastAsia" w:ascii="Times New Roman" w:hAnsi="Times New Roman" w:cs="Times New Roman"/>
          <w:color w:val="000000" w:themeColor="text1"/>
          <w:sz w:val="24"/>
          <w:szCs w:val="24"/>
        </w:rPr>
        <w:t>2</w:t>
      </w:r>
      <w:r>
        <w:rPr>
          <w:rFonts w:ascii="Times New Roman" w:hAnsi="Times New Roman" w:cs="Times New Roman"/>
          <w:color w:val="000000" w:themeColor="text1"/>
          <w:sz w:val="24"/>
          <w:szCs w:val="24"/>
        </w:rPr>
        <w:t>年纸质图书采购项目</w:t>
      </w:r>
    </w:p>
    <w:p>
      <w:pPr>
        <w:pStyle w:val="12"/>
        <w:snapToGrid w:val="0"/>
        <w:spacing w:line="440" w:lineRule="exact"/>
        <w:ind w:firstLine="480" w:firstLineChars="20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项目编号：</w:t>
      </w:r>
    </w:p>
    <w:p>
      <w:pPr>
        <w:pStyle w:val="12"/>
        <w:snapToGrid w:val="0"/>
        <w:spacing w:line="440" w:lineRule="exact"/>
        <w:ind w:firstLine="480" w:firstLineChars="20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甲方：（买方）</w:t>
      </w:r>
    </w:p>
    <w:p>
      <w:pPr>
        <w:pStyle w:val="12"/>
        <w:snapToGrid w:val="0"/>
        <w:spacing w:line="440" w:lineRule="exact"/>
        <w:ind w:firstLine="480" w:firstLineChars="20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乙方：（卖方）</w:t>
      </w:r>
    </w:p>
    <w:p>
      <w:pPr>
        <w:pStyle w:val="12"/>
        <w:snapToGrid w:val="0"/>
        <w:spacing w:line="440" w:lineRule="exact"/>
        <w:ind w:firstLine="480" w:firstLineChars="20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甲、乙双方根据盐城幼儿师范高等专科学校202</w:t>
      </w:r>
      <w:r>
        <w:rPr>
          <w:rFonts w:hint="eastAsia" w:ascii="Times New Roman" w:hAnsi="Times New Roman" w:cs="Times New Roman"/>
          <w:color w:val="000000" w:themeColor="text1"/>
          <w:sz w:val="24"/>
          <w:szCs w:val="24"/>
        </w:rPr>
        <w:t>2</w:t>
      </w:r>
      <w:r>
        <w:rPr>
          <w:rFonts w:ascii="Times New Roman" w:hAnsi="Times New Roman" w:cs="Times New Roman"/>
          <w:color w:val="000000" w:themeColor="text1"/>
          <w:sz w:val="24"/>
          <w:szCs w:val="24"/>
        </w:rPr>
        <w:t>年纸质图书采购项目投标的结果，签署本合同。</w:t>
      </w:r>
    </w:p>
    <w:p>
      <w:pPr>
        <w:pStyle w:val="12"/>
        <w:snapToGrid w:val="0"/>
        <w:spacing w:line="440" w:lineRule="exact"/>
        <w:ind w:firstLine="482" w:firstLineChars="200"/>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一、货物内容</w:t>
      </w:r>
    </w:p>
    <w:p>
      <w:pPr>
        <w:pStyle w:val="12"/>
        <w:snapToGrid w:val="0"/>
        <w:spacing w:line="440" w:lineRule="exact"/>
        <w:ind w:firstLine="480" w:firstLineChars="20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详见第四章项目需求。</w:t>
      </w:r>
    </w:p>
    <w:p>
      <w:pPr>
        <w:pStyle w:val="12"/>
        <w:snapToGrid w:val="0"/>
        <w:spacing w:line="440" w:lineRule="exact"/>
        <w:ind w:firstLine="482" w:firstLineChars="200"/>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二、合同金额</w:t>
      </w:r>
    </w:p>
    <w:p>
      <w:pPr>
        <w:pStyle w:val="12"/>
        <w:snapToGrid w:val="0"/>
        <w:spacing w:line="440" w:lineRule="exact"/>
        <w:ind w:firstLine="480" w:firstLineChars="20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2.1 本合同金额为（大写）：人民币。</w:t>
      </w:r>
      <w:r>
        <w:rPr>
          <w:rFonts w:hint="eastAsia" w:ascii="Times New Roman" w:hAnsi="Times New Roman" w:cs="Times New Roman"/>
          <w:color w:val="000000" w:themeColor="text1"/>
          <w:sz w:val="24"/>
          <w:szCs w:val="24"/>
        </w:rPr>
        <w:t>实洋/码洋=。</w:t>
      </w:r>
    </w:p>
    <w:p>
      <w:pPr>
        <w:pStyle w:val="12"/>
        <w:snapToGrid w:val="0"/>
        <w:spacing w:line="440" w:lineRule="exact"/>
        <w:ind w:firstLine="482" w:firstLineChars="200"/>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三、技术资料</w:t>
      </w:r>
    </w:p>
    <w:p>
      <w:pPr>
        <w:spacing w:line="440" w:lineRule="exact"/>
        <w:ind w:firstLine="480" w:firstLineChars="200"/>
        <w:rPr>
          <w:color w:val="000000" w:themeColor="text1"/>
          <w:sz w:val="24"/>
          <w:szCs w:val="24"/>
        </w:rPr>
      </w:pPr>
      <w:r>
        <w:rPr>
          <w:color w:val="000000" w:themeColor="text1"/>
          <w:sz w:val="24"/>
          <w:szCs w:val="24"/>
        </w:rPr>
        <w:t>3.1乙方应按招标文件规定的时间向甲方提供使用货物的有关技术资料。</w:t>
      </w:r>
    </w:p>
    <w:p>
      <w:pPr>
        <w:spacing w:line="440" w:lineRule="exact"/>
        <w:ind w:firstLine="480" w:firstLineChars="200"/>
        <w:rPr>
          <w:color w:val="000000" w:themeColor="text1"/>
          <w:sz w:val="24"/>
          <w:szCs w:val="24"/>
        </w:rPr>
      </w:pPr>
      <w:r>
        <w:rPr>
          <w:color w:val="000000" w:themeColor="text1"/>
          <w:sz w:val="24"/>
          <w:szCs w:val="24"/>
        </w:rPr>
        <w:t>3.2 没有甲方事先书面同意，乙方不得将由甲方提供的有关合同或任何合同条文、规格、计划、图纸、样品或资料提供给与履行本合同无关的任何其他人。即使向履行本合同有关的人员提供，也应注意保密并限于履行合同的必需范围。</w:t>
      </w:r>
    </w:p>
    <w:p>
      <w:pPr>
        <w:pStyle w:val="12"/>
        <w:snapToGrid w:val="0"/>
        <w:spacing w:line="440" w:lineRule="exact"/>
        <w:ind w:firstLine="482" w:firstLineChars="200"/>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四、知识产权</w:t>
      </w:r>
    </w:p>
    <w:p>
      <w:pPr>
        <w:spacing w:line="440" w:lineRule="exact"/>
        <w:ind w:firstLine="480" w:firstLineChars="200"/>
        <w:rPr>
          <w:color w:val="000000" w:themeColor="text1"/>
          <w:sz w:val="24"/>
          <w:szCs w:val="24"/>
        </w:rPr>
      </w:pPr>
      <w:r>
        <w:rPr>
          <w:color w:val="000000" w:themeColor="text1"/>
          <w:sz w:val="24"/>
          <w:szCs w:val="24"/>
        </w:rPr>
        <w:t>4.1乙方应保证甲方在使用、接受本合同货物和服务或其任何一部分时不受第三方提出侵犯其专利权、版权、商标权和工业设计权等知识产权的起诉。一旦出现侵权，由乙方负全部责任。</w:t>
      </w:r>
    </w:p>
    <w:p>
      <w:pPr>
        <w:pStyle w:val="12"/>
        <w:snapToGrid w:val="0"/>
        <w:spacing w:line="440" w:lineRule="exact"/>
        <w:ind w:firstLine="482" w:firstLineChars="200"/>
        <w:rPr>
          <w:rFonts w:ascii="Times New Roman" w:hAnsi="Times New Roman" w:cs="Times New Roman"/>
          <w:color w:val="000000" w:themeColor="text1"/>
          <w:sz w:val="24"/>
          <w:szCs w:val="24"/>
          <w:u w:val="single"/>
        </w:rPr>
      </w:pPr>
      <w:r>
        <w:rPr>
          <w:rFonts w:ascii="Times New Roman" w:hAnsi="Times New Roman" w:cs="Times New Roman"/>
          <w:b/>
          <w:bCs/>
          <w:color w:val="000000" w:themeColor="text1"/>
          <w:sz w:val="24"/>
          <w:szCs w:val="24"/>
        </w:rPr>
        <w:t>五、产权担保</w:t>
      </w:r>
    </w:p>
    <w:p>
      <w:pPr>
        <w:pStyle w:val="12"/>
        <w:snapToGrid w:val="0"/>
        <w:spacing w:line="440" w:lineRule="exact"/>
        <w:ind w:firstLine="480" w:firstLineChars="200"/>
        <w:rPr>
          <w:rFonts w:ascii="Times New Roman" w:hAnsi="Times New Roman" w:cs="Times New Roman"/>
          <w:color w:val="000000" w:themeColor="text1"/>
          <w:sz w:val="24"/>
          <w:szCs w:val="24"/>
          <w:u w:val="single"/>
        </w:rPr>
      </w:pPr>
      <w:r>
        <w:rPr>
          <w:rFonts w:ascii="Times New Roman" w:hAnsi="Times New Roman" w:cs="Times New Roman"/>
          <w:color w:val="000000" w:themeColor="text1"/>
          <w:sz w:val="24"/>
          <w:szCs w:val="24"/>
        </w:rPr>
        <w:t>5.1 乙方保证所交付的货物的所有权完全属于乙方且无任何抵押、查封等产权瑕疵。</w:t>
      </w:r>
    </w:p>
    <w:p>
      <w:pPr>
        <w:pStyle w:val="12"/>
        <w:snapToGrid w:val="0"/>
        <w:spacing w:line="440" w:lineRule="exact"/>
        <w:ind w:firstLine="482" w:firstLineChars="200"/>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六、履约保证金</w:t>
      </w:r>
    </w:p>
    <w:p>
      <w:pPr>
        <w:adjustRightInd w:val="0"/>
        <w:snapToGrid w:val="0"/>
        <w:spacing w:line="440" w:lineRule="exact"/>
        <w:ind w:firstLine="480" w:firstLineChars="200"/>
        <w:rPr>
          <w:color w:val="000000" w:themeColor="text1"/>
          <w:sz w:val="24"/>
          <w:szCs w:val="24"/>
        </w:rPr>
      </w:pPr>
      <w:r>
        <w:rPr>
          <w:color w:val="000000" w:themeColor="text1"/>
          <w:sz w:val="24"/>
          <w:szCs w:val="24"/>
        </w:rPr>
        <w:t>6.1乙方交纳人民币</w:t>
      </w:r>
      <w:r>
        <w:rPr>
          <w:rFonts w:hint="eastAsia"/>
          <w:color w:val="000000" w:themeColor="text1"/>
          <w:sz w:val="24"/>
          <w:szCs w:val="24"/>
          <w:u w:val="single"/>
        </w:rPr>
        <w:t>柒万</w:t>
      </w:r>
      <w:r>
        <w:rPr>
          <w:color w:val="000000" w:themeColor="text1"/>
          <w:sz w:val="24"/>
          <w:szCs w:val="24"/>
        </w:rPr>
        <w:t>元作为本合同的履约保证金（履约保证金为合同价款的10%）。在签订合同前由中标人转至招标人指定账户，供货编目加工上架完成并验收合格</w:t>
      </w:r>
      <w:r>
        <w:rPr>
          <w:rFonts w:hint="eastAsia"/>
          <w:color w:val="000000" w:themeColor="text1"/>
          <w:sz w:val="24"/>
          <w:szCs w:val="24"/>
        </w:rPr>
        <w:t>一年</w:t>
      </w:r>
      <w:r>
        <w:rPr>
          <w:color w:val="000000" w:themeColor="text1"/>
          <w:sz w:val="24"/>
          <w:szCs w:val="24"/>
        </w:rPr>
        <w:t>后无息退还。</w:t>
      </w:r>
    </w:p>
    <w:p>
      <w:pPr>
        <w:spacing w:line="440" w:lineRule="exact"/>
        <w:ind w:firstLine="480" w:firstLineChars="200"/>
        <w:rPr>
          <w:sz w:val="24"/>
          <w:szCs w:val="24"/>
        </w:rPr>
      </w:pPr>
      <w:r>
        <w:rPr>
          <w:rFonts w:hint="eastAsia"/>
          <w:sz w:val="24"/>
          <w:szCs w:val="24"/>
        </w:rPr>
        <w:t>鼓励采购人对AA评级及以上政府采购供应商（需提供信用管理部门备案的第三方信用报告），免收履约保证金或降低履约保证金缴纳比例。</w:t>
      </w:r>
    </w:p>
    <w:p>
      <w:pPr>
        <w:snapToGrid w:val="0"/>
        <w:spacing w:line="440" w:lineRule="exact"/>
        <w:ind w:firstLine="482" w:firstLineChars="200"/>
        <w:rPr>
          <w:rFonts w:eastAsia="仿宋_GB2312"/>
          <w:b/>
          <w:bCs/>
          <w:color w:val="000000" w:themeColor="text1"/>
          <w:sz w:val="24"/>
          <w:szCs w:val="24"/>
        </w:rPr>
      </w:pPr>
      <w:r>
        <w:rPr>
          <w:b/>
          <w:bCs/>
          <w:color w:val="000000" w:themeColor="text1"/>
          <w:sz w:val="24"/>
          <w:szCs w:val="24"/>
        </w:rPr>
        <w:t>七、转包或分包</w:t>
      </w:r>
    </w:p>
    <w:p>
      <w:pPr>
        <w:snapToGrid w:val="0"/>
        <w:spacing w:line="440" w:lineRule="exact"/>
        <w:ind w:firstLine="480" w:firstLineChars="200"/>
        <w:rPr>
          <w:rFonts w:eastAsia="仿宋_GB2312"/>
          <w:color w:val="000000" w:themeColor="text1"/>
          <w:sz w:val="24"/>
          <w:szCs w:val="24"/>
        </w:rPr>
      </w:pPr>
      <w:r>
        <w:rPr>
          <w:color w:val="000000" w:themeColor="text1"/>
          <w:sz w:val="24"/>
          <w:szCs w:val="24"/>
        </w:rPr>
        <w:t>7.1本合同范围的货物，应由乙方直接供应，不得转让他人供应；</w:t>
      </w:r>
    </w:p>
    <w:p>
      <w:pPr>
        <w:snapToGrid w:val="0"/>
        <w:spacing w:line="440" w:lineRule="exact"/>
        <w:ind w:firstLine="480" w:firstLineChars="200"/>
        <w:rPr>
          <w:rFonts w:eastAsia="仿宋_GB2312"/>
          <w:color w:val="000000" w:themeColor="text1"/>
          <w:sz w:val="24"/>
          <w:szCs w:val="24"/>
        </w:rPr>
      </w:pPr>
      <w:r>
        <w:rPr>
          <w:color w:val="000000" w:themeColor="text1"/>
          <w:sz w:val="24"/>
          <w:szCs w:val="24"/>
        </w:rPr>
        <w:t>7.2 除非得到甲方的书面同意，乙方不得部分分包给他人供应。</w:t>
      </w:r>
    </w:p>
    <w:p>
      <w:pPr>
        <w:snapToGrid w:val="0"/>
        <w:spacing w:line="440" w:lineRule="exact"/>
        <w:ind w:firstLine="480" w:firstLineChars="200"/>
        <w:rPr>
          <w:rFonts w:eastAsia="仿宋_GB2312"/>
          <w:color w:val="000000" w:themeColor="text1"/>
          <w:sz w:val="24"/>
          <w:szCs w:val="24"/>
        </w:rPr>
      </w:pPr>
      <w:r>
        <w:rPr>
          <w:color w:val="000000" w:themeColor="text1"/>
          <w:sz w:val="24"/>
          <w:szCs w:val="24"/>
        </w:rPr>
        <w:t>7.3如有转让和未经甲方同意的分包行为，甲方有权给予终止合同。</w:t>
      </w:r>
    </w:p>
    <w:p>
      <w:pPr>
        <w:spacing w:line="440" w:lineRule="exact"/>
        <w:ind w:firstLine="482" w:firstLineChars="200"/>
        <w:rPr>
          <w:color w:val="000000" w:themeColor="text1"/>
          <w:sz w:val="24"/>
          <w:szCs w:val="24"/>
          <w:u w:val="single"/>
        </w:rPr>
      </w:pPr>
      <w:r>
        <w:rPr>
          <w:b/>
          <w:bCs/>
          <w:color w:val="000000" w:themeColor="text1"/>
          <w:sz w:val="24"/>
          <w:szCs w:val="24"/>
        </w:rPr>
        <w:t>八、质保期：</w:t>
      </w:r>
      <w:r>
        <w:rPr>
          <w:color w:val="000000" w:themeColor="text1"/>
          <w:sz w:val="24"/>
          <w:szCs w:val="24"/>
          <w:u w:val="single"/>
        </w:rPr>
        <w:t>图书质保期为</w:t>
      </w:r>
      <w:r>
        <w:rPr>
          <w:rFonts w:hint="eastAsia"/>
          <w:color w:val="000000" w:themeColor="text1"/>
          <w:sz w:val="24"/>
          <w:szCs w:val="24"/>
          <w:u w:val="single"/>
        </w:rPr>
        <w:t>1</w:t>
      </w:r>
      <w:r>
        <w:rPr>
          <w:color w:val="000000" w:themeColor="text1"/>
          <w:sz w:val="24"/>
          <w:szCs w:val="24"/>
          <w:u w:val="single"/>
        </w:rPr>
        <w:t>年。</w:t>
      </w:r>
    </w:p>
    <w:p>
      <w:pPr>
        <w:pStyle w:val="12"/>
        <w:snapToGrid w:val="0"/>
        <w:spacing w:line="440" w:lineRule="exact"/>
        <w:ind w:firstLine="482" w:firstLineChars="200"/>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九、交货期、交货方式及交货地点</w:t>
      </w:r>
    </w:p>
    <w:p>
      <w:pPr>
        <w:pStyle w:val="12"/>
        <w:snapToGrid w:val="0"/>
        <w:spacing w:line="440" w:lineRule="exact"/>
        <w:ind w:firstLine="480" w:firstLineChars="20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9.1 交货期（工期）：中标单位必须严格按照采购单位提供的图书采购目录及数量配书并及时供货，自签订合同之日起，30日内图书到货完毕，60日内编目上架完毕。加工和上架工作，延期一天将处罚金50元。必须保证编目加工的质量，加工差错率大于3‰，按单一进书批次来计算，则每大于0.1个百分点，将处罚金100元，该罚金将从购书款中扣除。合计工期60个日历天。</w:t>
      </w:r>
    </w:p>
    <w:p>
      <w:pPr>
        <w:pStyle w:val="12"/>
        <w:snapToGrid w:val="0"/>
        <w:spacing w:line="440" w:lineRule="exact"/>
        <w:ind w:firstLine="480" w:firstLineChars="20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9.2 交货方式：验收、移交。 </w:t>
      </w:r>
    </w:p>
    <w:p>
      <w:pPr>
        <w:pStyle w:val="12"/>
        <w:snapToGrid w:val="0"/>
        <w:spacing w:line="440" w:lineRule="exact"/>
        <w:ind w:firstLine="480" w:firstLineChars="20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9.3 交货地点：盐城幼儿师范高等专科学校指定地方。 </w:t>
      </w:r>
    </w:p>
    <w:p>
      <w:pPr>
        <w:pStyle w:val="12"/>
        <w:snapToGrid w:val="0"/>
        <w:spacing w:line="440" w:lineRule="exact"/>
        <w:ind w:firstLine="482" w:firstLineChars="200"/>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十、货款支付</w:t>
      </w:r>
    </w:p>
    <w:p>
      <w:pPr>
        <w:snapToGrid w:val="0"/>
        <w:spacing w:line="440" w:lineRule="exact"/>
        <w:ind w:firstLine="480" w:firstLineChars="200"/>
        <w:rPr>
          <w:color w:val="000000" w:themeColor="text1"/>
          <w:sz w:val="24"/>
          <w:szCs w:val="24"/>
        </w:rPr>
      </w:pPr>
      <w:r>
        <w:rPr>
          <w:color w:val="000000" w:themeColor="text1"/>
          <w:sz w:val="24"/>
          <w:szCs w:val="24"/>
        </w:rPr>
        <w:t>10.1 付款方式：采购人以实洋金额支付货款，实洋金额＝码洋金额×码洋折价率。按清单货物到货实洋价的90%支付首付款；供货编目加工上架完成并验收合格后，凭税务发票由采购人支付合同报价的</w:t>
      </w:r>
      <w:r>
        <w:rPr>
          <w:rFonts w:hint="eastAsia"/>
          <w:color w:val="000000" w:themeColor="text1"/>
          <w:sz w:val="24"/>
          <w:szCs w:val="24"/>
        </w:rPr>
        <w:t>100</w:t>
      </w:r>
      <w:r>
        <w:rPr>
          <w:color w:val="000000" w:themeColor="text1"/>
          <w:sz w:val="24"/>
          <w:szCs w:val="24"/>
        </w:rPr>
        <w:t>%的货款，支付第二批货款(实洋价</w:t>
      </w:r>
      <w:r>
        <w:rPr>
          <w:rFonts w:hint="eastAsia"/>
          <w:color w:val="000000" w:themeColor="text1"/>
          <w:sz w:val="24"/>
          <w:szCs w:val="24"/>
        </w:rPr>
        <w:t>—</w:t>
      </w:r>
      <w:r>
        <w:rPr>
          <w:color w:val="000000" w:themeColor="text1"/>
          <w:sz w:val="24"/>
          <w:szCs w:val="24"/>
        </w:rPr>
        <w:t>首付款)。</w:t>
      </w:r>
    </w:p>
    <w:p>
      <w:pPr>
        <w:snapToGrid w:val="0"/>
        <w:spacing w:line="440" w:lineRule="exact"/>
        <w:ind w:firstLine="482" w:firstLineChars="200"/>
        <w:rPr>
          <w:rFonts w:eastAsia="仿宋_GB2312"/>
          <w:b/>
          <w:bCs/>
          <w:color w:val="000000" w:themeColor="text1"/>
          <w:sz w:val="24"/>
          <w:szCs w:val="24"/>
        </w:rPr>
      </w:pPr>
      <w:r>
        <w:rPr>
          <w:b/>
          <w:bCs/>
          <w:color w:val="000000" w:themeColor="text1"/>
          <w:sz w:val="24"/>
          <w:szCs w:val="24"/>
        </w:rPr>
        <w:t>十一</w:t>
      </w:r>
      <w:r>
        <w:rPr>
          <w:rFonts w:hint="eastAsia"/>
          <w:b/>
          <w:bCs/>
          <w:color w:val="000000" w:themeColor="text1"/>
          <w:sz w:val="24"/>
          <w:szCs w:val="24"/>
        </w:rPr>
        <w:t>、</w:t>
      </w:r>
      <w:r>
        <w:rPr>
          <w:b/>
          <w:bCs/>
          <w:color w:val="000000" w:themeColor="text1"/>
          <w:sz w:val="24"/>
          <w:szCs w:val="24"/>
        </w:rPr>
        <w:t>税费</w:t>
      </w:r>
    </w:p>
    <w:p>
      <w:pPr>
        <w:snapToGrid w:val="0"/>
        <w:spacing w:line="440" w:lineRule="exact"/>
        <w:ind w:firstLine="480" w:firstLineChars="200"/>
        <w:rPr>
          <w:rFonts w:eastAsia="仿宋_GB2312"/>
          <w:color w:val="000000" w:themeColor="text1"/>
          <w:sz w:val="24"/>
          <w:szCs w:val="24"/>
        </w:rPr>
      </w:pPr>
      <w:r>
        <w:rPr>
          <w:color w:val="000000" w:themeColor="text1"/>
          <w:sz w:val="24"/>
          <w:szCs w:val="24"/>
        </w:rPr>
        <w:t>11.1本合同执行中相关的一切税费均由乙方负担。</w:t>
      </w:r>
    </w:p>
    <w:p>
      <w:pPr>
        <w:pStyle w:val="12"/>
        <w:snapToGrid w:val="0"/>
        <w:spacing w:line="440" w:lineRule="exact"/>
        <w:ind w:firstLine="482" w:firstLineChars="200"/>
        <w:rPr>
          <w:rFonts w:ascii="Times New Roman" w:hAnsi="Times New Roman" w:cs="Times New Roman"/>
          <w:color w:val="000000" w:themeColor="text1"/>
          <w:sz w:val="24"/>
          <w:szCs w:val="24"/>
        </w:rPr>
      </w:pPr>
      <w:r>
        <w:rPr>
          <w:rFonts w:ascii="Times New Roman" w:hAnsi="Times New Roman" w:cs="Times New Roman"/>
          <w:b/>
          <w:bCs/>
          <w:color w:val="000000" w:themeColor="text1"/>
          <w:sz w:val="24"/>
          <w:szCs w:val="24"/>
        </w:rPr>
        <w:t>十二、质量要求、技术标准及售后服务</w:t>
      </w:r>
    </w:p>
    <w:p>
      <w:pPr>
        <w:pStyle w:val="12"/>
        <w:spacing w:line="440" w:lineRule="exact"/>
        <w:ind w:firstLine="480" w:firstLineChars="20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12.1 乙方按照国家规定的标准和标书规定的标准执行。</w:t>
      </w:r>
    </w:p>
    <w:p>
      <w:pPr>
        <w:pStyle w:val="12"/>
        <w:spacing w:line="440" w:lineRule="exact"/>
        <w:ind w:firstLine="480" w:firstLineChars="20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12.2乙方应按招标文件规定的货物性能、技术要求、质量标准向甲方提供未经使用的全新产品。 </w:t>
      </w:r>
    </w:p>
    <w:p>
      <w:pPr>
        <w:pStyle w:val="12"/>
        <w:spacing w:line="440" w:lineRule="exact"/>
        <w:ind w:firstLine="480" w:firstLineChars="20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12.3乙方提供的货物在质保期内因货物本身的质量问题发生故障，乙方应负责免费更换。</w:t>
      </w:r>
    </w:p>
    <w:p>
      <w:pPr>
        <w:pStyle w:val="12"/>
        <w:spacing w:line="440" w:lineRule="exact"/>
        <w:ind w:firstLine="480" w:firstLineChars="20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12.4 对达不到技术要求者，根据实际情况，经双方协商，可按以下办法处理：（1）更换：由乙方承担所发生的全部费用；（2）退货处理：乙方应退还甲方支付的合同款，同时应承担该货物的直接费用（运输、保险、检验、货款利息及银行手续费等）。</w:t>
      </w:r>
    </w:p>
    <w:p>
      <w:pPr>
        <w:pStyle w:val="12"/>
        <w:spacing w:line="440" w:lineRule="exact"/>
        <w:ind w:firstLine="480" w:firstLineChars="20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12.5 如在使用过程中发生质量问题，乙方在接到甲方通知后在24小时内到达甲方现场。</w:t>
      </w:r>
    </w:p>
    <w:p>
      <w:pPr>
        <w:pStyle w:val="12"/>
        <w:spacing w:line="440" w:lineRule="exact"/>
        <w:ind w:firstLine="480" w:firstLineChars="20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12.6 在质保期内，乙方应对货物出现的质量及安全问题负责处理解决并承担一切费用。</w:t>
      </w:r>
    </w:p>
    <w:p>
      <w:pPr>
        <w:pStyle w:val="12"/>
        <w:snapToGrid w:val="0"/>
        <w:spacing w:line="440" w:lineRule="exact"/>
        <w:ind w:firstLine="480" w:firstLineChars="20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12.7 上述的货物免费质保期为</w:t>
      </w:r>
      <w:r>
        <w:rPr>
          <w:rFonts w:hint="eastAsia" w:ascii="Times New Roman" w:hAnsi="Times New Roman" w:cs="Times New Roman"/>
          <w:color w:val="000000" w:themeColor="text1"/>
          <w:sz w:val="24"/>
          <w:szCs w:val="24"/>
        </w:rPr>
        <w:t>一</w:t>
      </w:r>
      <w:r>
        <w:rPr>
          <w:rFonts w:ascii="Times New Roman" w:hAnsi="Times New Roman" w:cs="Times New Roman"/>
          <w:color w:val="000000" w:themeColor="text1"/>
          <w:sz w:val="24"/>
          <w:szCs w:val="24"/>
        </w:rPr>
        <w:t>年，因人为因素出现的故障不在免费保修范围内。</w:t>
      </w:r>
    </w:p>
    <w:p>
      <w:pPr>
        <w:pStyle w:val="12"/>
        <w:snapToGrid w:val="0"/>
        <w:spacing w:line="440" w:lineRule="exact"/>
        <w:ind w:firstLine="482" w:firstLineChars="200"/>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十三、调试和验收</w:t>
      </w:r>
    </w:p>
    <w:p>
      <w:pPr>
        <w:pStyle w:val="12"/>
        <w:spacing w:line="440" w:lineRule="exact"/>
        <w:ind w:firstLine="480" w:firstLineChars="20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13.1标书中有规定的按标书的规定执行，没有规定的，按国家规定的标准和方法进行验收。</w:t>
      </w:r>
    </w:p>
    <w:p>
      <w:pPr>
        <w:pStyle w:val="12"/>
        <w:spacing w:line="440" w:lineRule="exact"/>
        <w:ind w:firstLine="480" w:firstLineChars="20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13.2甲方对乙方提交的货物依据招标文件上的技术规格要求和国家有关质量标准进行现场初步验收，外观、说明书符合招标文件技术要求的，给予签收，初步验收不合格的不予签收。</w:t>
      </w:r>
    </w:p>
    <w:p>
      <w:pPr>
        <w:pStyle w:val="12"/>
        <w:spacing w:line="440" w:lineRule="exact"/>
        <w:ind w:firstLine="480" w:firstLineChars="20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13.3乙方交货前应对产品作出全面检查和对验收文件进行整理，并列出清单，作为甲方收货验收和使用的技术条件依据，检验的结果应随货物交甲方。</w:t>
      </w:r>
    </w:p>
    <w:p>
      <w:pPr>
        <w:pStyle w:val="12"/>
        <w:spacing w:line="440" w:lineRule="exact"/>
        <w:ind w:firstLine="480" w:firstLineChars="20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13.4甲方对乙方提供的货物在使用前进行调试时，乙方需负责安装并培训甲方的使用操作人员，并协助甲方一起调试，直到符合技术要求，甲方才做最终验收。</w:t>
      </w:r>
    </w:p>
    <w:p>
      <w:pPr>
        <w:pStyle w:val="12"/>
        <w:spacing w:line="440" w:lineRule="exact"/>
        <w:ind w:firstLine="480" w:firstLineChars="20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13.5对技术复杂的货物，甲方可请国家认可的专业检测机构参与初步验收及最终验收，并由其出具质量检测报告。</w:t>
      </w:r>
    </w:p>
    <w:p>
      <w:pPr>
        <w:pStyle w:val="12"/>
        <w:spacing w:line="440" w:lineRule="exact"/>
        <w:ind w:firstLine="480" w:firstLineChars="20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13.6验收时乙方必须在现场，验收完毕后作出验收结果报告；验收费用由甲乙双方协商解决。</w:t>
      </w:r>
    </w:p>
    <w:p>
      <w:pPr>
        <w:pStyle w:val="12"/>
        <w:snapToGrid w:val="0"/>
        <w:spacing w:line="440" w:lineRule="exact"/>
        <w:ind w:firstLine="482" w:firstLineChars="200"/>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十四、货物包装、发运及运输</w:t>
      </w:r>
    </w:p>
    <w:p>
      <w:pPr>
        <w:pStyle w:val="12"/>
        <w:spacing w:line="440" w:lineRule="exact"/>
        <w:ind w:firstLine="480" w:firstLineChars="20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14.1 乙方应在货物发运前对其进行满足运输距离、防潮、防震、防锈和防破损装卸等要求包装，以保证货物安全运达甲方指定地点。</w:t>
      </w:r>
    </w:p>
    <w:p>
      <w:pPr>
        <w:pStyle w:val="12"/>
        <w:spacing w:line="440" w:lineRule="exact"/>
        <w:ind w:firstLine="480" w:firstLineChars="20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14.2 使用说明书、质量检验证明书、随配附件和工具以及清单一并附于货物内。</w:t>
      </w:r>
    </w:p>
    <w:p>
      <w:pPr>
        <w:pStyle w:val="12"/>
        <w:spacing w:line="440" w:lineRule="exact"/>
        <w:ind w:firstLine="480" w:firstLineChars="20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14.3 货物在交付甲方前发生的风险均由乙方负责。</w:t>
      </w:r>
    </w:p>
    <w:p>
      <w:pPr>
        <w:pStyle w:val="12"/>
        <w:spacing w:line="440" w:lineRule="exact"/>
        <w:ind w:firstLine="480" w:firstLineChars="20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14.4 货物在规定的交付期限内由乙方送达甲方指定的地点视为交付，乙方同时需通知甲方货物已送达。</w:t>
      </w:r>
    </w:p>
    <w:p>
      <w:pPr>
        <w:pStyle w:val="12"/>
        <w:snapToGrid w:val="0"/>
        <w:spacing w:line="440" w:lineRule="exact"/>
        <w:ind w:firstLine="482" w:firstLineChars="200"/>
        <w:rPr>
          <w:rFonts w:ascii="Times New Roman" w:hAnsi="Times New Roman" w:cs="Times New Roman"/>
          <w:color w:val="000000" w:themeColor="text1"/>
          <w:sz w:val="24"/>
          <w:szCs w:val="24"/>
        </w:rPr>
      </w:pPr>
      <w:r>
        <w:rPr>
          <w:rFonts w:ascii="Times New Roman" w:hAnsi="Times New Roman" w:cs="Times New Roman"/>
          <w:b/>
          <w:bCs/>
          <w:color w:val="000000" w:themeColor="text1"/>
          <w:sz w:val="24"/>
          <w:szCs w:val="24"/>
        </w:rPr>
        <w:t>十五、违约责任：按照标书的规定和国家的有关规定处理</w:t>
      </w:r>
    </w:p>
    <w:p>
      <w:pPr>
        <w:pStyle w:val="12"/>
        <w:spacing w:line="440" w:lineRule="exact"/>
        <w:ind w:firstLine="480" w:firstLineChars="20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15.1 甲方无正当理由拒收货物的，甲方向乙方偿付拒收货款总值的百分之五违约金。</w:t>
      </w:r>
    </w:p>
    <w:p>
      <w:pPr>
        <w:pStyle w:val="12"/>
        <w:spacing w:line="440" w:lineRule="exact"/>
        <w:ind w:firstLine="480" w:firstLineChars="20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15.2 甲方无故逾期验收和办理相关手续的,甲方应按逾期付款总额每日万分之五向乙方支付违约金。</w:t>
      </w:r>
    </w:p>
    <w:p>
      <w:pPr>
        <w:pStyle w:val="12"/>
        <w:spacing w:line="440" w:lineRule="exact"/>
        <w:ind w:firstLine="480" w:firstLineChars="20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15.3 乙方逾期交付货物的，乙方应按逾期交货总额每日千分之六向甲方支付违约金，由甲方从待付货款中扣除。逾期超过约定日期10个工作日不能交货的，甲方可解除本合同。乙方因逾期交货或因其他违约行为导致甲方解除合同的，乙方应向甲方支付合同总值5%的违约金，如造成甲方损失超过违约金的，超出部分由乙方继续承担赔偿责任。 </w:t>
      </w:r>
    </w:p>
    <w:p>
      <w:pPr>
        <w:pStyle w:val="12"/>
        <w:spacing w:line="440" w:lineRule="exact"/>
        <w:ind w:firstLine="480" w:firstLineChars="20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15.4 乙方所交的货物品种、型号、规格、技术参数、质量等不符合合同规定及招标文件规定标准的，甲方有权拒收该货物，乙方愿意更换货物但逾期交货的，按乙方逾期交货处理。乙方拒绝更换货物的，甲方可单方面解除合同。</w:t>
      </w:r>
    </w:p>
    <w:p>
      <w:pPr>
        <w:spacing w:line="440" w:lineRule="exact"/>
        <w:ind w:firstLine="482" w:firstLineChars="200"/>
        <w:rPr>
          <w:b/>
          <w:bCs/>
          <w:color w:val="000000" w:themeColor="text1"/>
          <w:sz w:val="24"/>
          <w:szCs w:val="24"/>
        </w:rPr>
      </w:pPr>
      <w:r>
        <w:rPr>
          <w:b/>
          <w:bCs/>
          <w:color w:val="000000" w:themeColor="text1"/>
          <w:sz w:val="24"/>
          <w:szCs w:val="24"/>
        </w:rPr>
        <w:t>十六、不可抗力事件处理</w:t>
      </w:r>
    </w:p>
    <w:p>
      <w:pPr>
        <w:spacing w:line="440" w:lineRule="exact"/>
        <w:ind w:firstLine="480" w:firstLineChars="200"/>
        <w:rPr>
          <w:color w:val="000000" w:themeColor="text1"/>
          <w:sz w:val="24"/>
          <w:szCs w:val="24"/>
        </w:rPr>
      </w:pPr>
      <w:r>
        <w:rPr>
          <w:color w:val="000000" w:themeColor="text1"/>
          <w:sz w:val="24"/>
          <w:szCs w:val="24"/>
        </w:rPr>
        <w:t>16.1 在合同有效期内，任何一方因不可抗力事件导致不能履行合同，则合同履行期可延长，其延长期与不可抗力影响期相同。</w:t>
      </w:r>
    </w:p>
    <w:p>
      <w:pPr>
        <w:spacing w:line="440" w:lineRule="exact"/>
        <w:ind w:firstLine="480" w:firstLineChars="200"/>
        <w:rPr>
          <w:color w:val="000000" w:themeColor="text1"/>
          <w:sz w:val="24"/>
          <w:szCs w:val="24"/>
        </w:rPr>
      </w:pPr>
      <w:r>
        <w:rPr>
          <w:color w:val="000000" w:themeColor="text1"/>
          <w:sz w:val="24"/>
          <w:szCs w:val="24"/>
        </w:rPr>
        <w:t>16.2 不可抗力事件发生后，应立即通知对方，并寄送有关权威机构出具的证明。</w:t>
      </w:r>
    </w:p>
    <w:p>
      <w:pPr>
        <w:spacing w:line="440" w:lineRule="exact"/>
        <w:ind w:firstLine="480" w:firstLineChars="200"/>
        <w:rPr>
          <w:color w:val="000000" w:themeColor="text1"/>
          <w:sz w:val="24"/>
          <w:szCs w:val="24"/>
        </w:rPr>
      </w:pPr>
      <w:r>
        <w:rPr>
          <w:color w:val="000000" w:themeColor="text1"/>
          <w:sz w:val="24"/>
          <w:szCs w:val="24"/>
        </w:rPr>
        <w:t>16.3 不可抗力事件延续120天以上，双方应通过友好协商，确定是否继续履行合同。</w:t>
      </w:r>
    </w:p>
    <w:p>
      <w:pPr>
        <w:pStyle w:val="12"/>
        <w:snapToGrid w:val="0"/>
        <w:spacing w:line="440" w:lineRule="exact"/>
        <w:ind w:firstLine="482" w:firstLineChars="200"/>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十七、争议解决</w:t>
      </w:r>
    </w:p>
    <w:p>
      <w:pPr>
        <w:pStyle w:val="12"/>
        <w:spacing w:line="440" w:lineRule="exact"/>
        <w:ind w:firstLine="480" w:firstLineChars="20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17.1 双方在执行合同中所发生的一切争议，应通过协商解决，协商不成，由盐城仲裁委员会仲裁。</w:t>
      </w:r>
    </w:p>
    <w:p>
      <w:pPr>
        <w:pStyle w:val="12"/>
        <w:snapToGrid w:val="0"/>
        <w:spacing w:line="440" w:lineRule="exact"/>
        <w:ind w:firstLine="482" w:firstLineChars="200"/>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十八、合同生效及其它</w:t>
      </w:r>
    </w:p>
    <w:p>
      <w:pPr>
        <w:spacing w:line="440" w:lineRule="exact"/>
        <w:ind w:firstLine="480" w:firstLineChars="200"/>
        <w:rPr>
          <w:color w:val="000000" w:themeColor="text1"/>
          <w:sz w:val="24"/>
          <w:szCs w:val="24"/>
        </w:rPr>
      </w:pPr>
      <w:r>
        <w:rPr>
          <w:color w:val="000000" w:themeColor="text1"/>
          <w:sz w:val="24"/>
          <w:szCs w:val="24"/>
        </w:rPr>
        <w:t>18.1 安全责任：本工程必须确保安全，承包人自行承担工程施工过程中的工程质量、任何状况下的安全责任。非采购人原因，发生的一切问题和责任与采购人无关，相关一切费用或民事、刑事责任均由承包人自理。</w:t>
      </w:r>
    </w:p>
    <w:p>
      <w:pPr>
        <w:spacing w:line="440" w:lineRule="exact"/>
        <w:ind w:firstLine="480" w:firstLineChars="200"/>
        <w:rPr>
          <w:color w:val="000000" w:themeColor="text1"/>
          <w:sz w:val="24"/>
          <w:szCs w:val="24"/>
        </w:rPr>
      </w:pPr>
      <w:r>
        <w:rPr>
          <w:color w:val="000000" w:themeColor="text1"/>
          <w:sz w:val="24"/>
          <w:szCs w:val="24"/>
        </w:rPr>
        <w:t>18.2合同经双方法定代表人或授权委托代表人签字并加盖单位公章后生效。</w:t>
      </w:r>
    </w:p>
    <w:p>
      <w:pPr>
        <w:spacing w:line="440" w:lineRule="exact"/>
        <w:ind w:firstLine="480" w:firstLineChars="200"/>
        <w:rPr>
          <w:color w:val="000000" w:themeColor="text1"/>
          <w:sz w:val="24"/>
          <w:szCs w:val="24"/>
        </w:rPr>
      </w:pPr>
      <w:r>
        <w:rPr>
          <w:color w:val="000000" w:themeColor="text1"/>
          <w:sz w:val="24"/>
          <w:szCs w:val="24"/>
        </w:rPr>
        <w:t>18.3本合同未尽事宜，遵照《合同法》有关条文执行。</w:t>
      </w:r>
    </w:p>
    <w:p>
      <w:pPr>
        <w:spacing w:line="440" w:lineRule="exact"/>
        <w:ind w:firstLine="480" w:firstLineChars="200"/>
        <w:rPr>
          <w:color w:val="000000" w:themeColor="text1"/>
          <w:sz w:val="24"/>
          <w:szCs w:val="24"/>
        </w:rPr>
      </w:pPr>
      <w:r>
        <w:rPr>
          <w:color w:val="000000" w:themeColor="text1"/>
          <w:sz w:val="24"/>
          <w:szCs w:val="24"/>
        </w:rPr>
        <w:t>18.4本合同正本一式陆份，甲方执伍份，乙方执壹份。</w:t>
      </w:r>
    </w:p>
    <w:p>
      <w:pPr>
        <w:pStyle w:val="12"/>
        <w:snapToGrid w:val="0"/>
        <w:spacing w:line="440" w:lineRule="exact"/>
        <w:ind w:left="480" w:hanging="480" w:hangingChars="200"/>
        <w:rPr>
          <w:rFonts w:ascii="Times New Roman" w:hAnsi="Times New Roman" w:cs="Times New Roman"/>
          <w:color w:val="000000" w:themeColor="text1"/>
          <w:sz w:val="24"/>
          <w:szCs w:val="24"/>
        </w:rPr>
      </w:pPr>
    </w:p>
    <w:p>
      <w:pPr>
        <w:overflowPunct w:val="0"/>
        <w:snapToGrid w:val="0"/>
        <w:spacing w:line="440" w:lineRule="exact"/>
        <w:ind w:right="-624" w:rightChars="-297"/>
        <w:rPr>
          <w:color w:val="000000" w:themeColor="text1"/>
        </w:rPr>
      </w:pPr>
      <w:r>
        <w:rPr>
          <w:color w:val="000000" w:themeColor="text1"/>
        </w:rPr>
        <w:t xml:space="preserve">甲方(公章)：                            乙方(公章)： </w:t>
      </w:r>
    </w:p>
    <w:p>
      <w:pPr>
        <w:overflowPunct w:val="0"/>
        <w:snapToGrid w:val="0"/>
        <w:spacing w:line="440" w:lineRule="exact"/>
        <w:ind w:right="-624" w:rightChars="-297"/>
        <w:rPr>
          <w:color w:val="000000" w:themeColor="text1"/>
        </w:rPr>
      </w:pPr>
      <w:r>
        <w:rPr>
          <w:color w:val="000000" w:themeColor="text1"/>
        </w:rPr>
        <w:t xml:space="preserve">法定代表人或其委托代理人          法定代表人或其委托代理人 </w:t>
      </w:r>
    </w:p>
    <w:p>
      <w:pPr>
        <w:overflowPunct w:val="0"/>
        <w:snapToGrid w:val="0"/>
        <w:spacing w:line="440" w:lineRule="exact"/>
        <w:ind w:right="-624" w:rightChars="-297" w:firstLine="1587" w:firstLineChars="756"/>
        <w:rPr>
          <w:color w:val="000000" w:themeColor="text1"/>
        </w:rPr>
      </w:pPr>
      <w:r>
        <w:rPr>
          <w:color w:val="000000" w:themeColor="text1"/>
        </w:rPr>
        <w:t>（签字）</w:t>
      </w:r>
      <w:r>
        <w:rPr>
          <w:rFonts w:hint="eastAsia"/>
          <w:color w:val="000000" w:themeColor="text1"/>
        </w:rPr>
        <w:t xml:space="preserve">：                              </w:t>
      </w:r>
      <w:r>
        <w:rPr>
          <w:color w:val="000000" w:themeColor="text1"/>
        </w:rPr>
        <w:t>（签字）</w:t>
      </w:r>
      <w:r>
        <w:rPr>
          <w:rFonts w:hint="eastAsia"/>
          <w:color w:val="000000" w:themeColor="text1"/>
        </w:rPr>
        <w:t>：</w:t>
      </w:r>
    </w:p>
    <w:p>
      <w:pPr>
        <w:overflowPunct w:val="0"/>
        <w:snapToGrid w:val="0"/>
        <w:spacing w:line="440" w:lineRule="exact"/>
        <w:ind w:right="-624" w:rightChars="-297"/>
        <w:rPr>
          <w:color w:val="000000" w:themeColor="text1"/>
        </w:rPr>
      </w:pPr>
      <w:r>
        <w:rPr>
          <w:color w:val="000000" w:themeColor="text1"/>
        </w:rPr>
        <w:t>组织机构代码：                         组织机构代码：</w:t>
      </w:r>
    </w:p>
    <w:p>
      <w:pPr>
        <w:overflowPunct w:val="0"/>
        <w:snapToGrid w:val="0"/>
        <w:spacing w:line="440" w:lineRule="exact"/>
        <w:ind w:left="5040" w:hanging="5040" w:hangingChars="2400"/>
        <w:rPr>
          <w:color w:val="000000" w:themeColor="text1"/>
        </w:rPr>
      </w:pPr>
      <w:r>
        <w:rPr>
          <w:color w:val="000000" w:themeColor="text1"/>
        </w:rPr>
        <w:t xml:space="preserve">地  址：                            </w:t>
      </w:r>
      <w:r>
        <w:rPr>
          <w:rFonts w:hint="eastAsia"/>
          <w:color w:val="000000" w:themeColor="text1"/>
          <w:lang w:val="en-US" w:eastAsia="zh-CN"/>
        </w:rPr>
        <w:t xml:space="preserve">  </w:t>
      </w:r>
      <w:r>
        <w:rPr>
          <w:color w:val="000000" w:themeColor="text1"/>
        </w:rPr>
        <w:t xml:space="preserve"> 地  址：</w:t>
      </w:r>
    </w:p>
    <w:p>
      <w:pPr>
        <w:overflowPunct w:val="0"/>
        <w:snapToGrid w:val="0"/>
        <w:spacing w:line="440" w:lineRule="exact"/>
        <w:rPr>
          <w:color w:val="000000" w:themeColor="text1"/>
        </w:rPr>
      </w:pPr>
      <w:r>
        <w:rPr>
          <w:color w:val="000000" w:themeColor="text1"/>
        </w:rPr>
        <w:t>邮政编码：                             邮政编码：</w:t>
      </w:r>
    </w:p>
    <w:p>
      <w:pPr>
        <w:overflowPunct w:val="0"/>
        <w:snapToGrid w:val="0"/>
        <w:spacing w:line="440" w:lineRule="exact"/>
        <w:rPr>
          <w:color w:val="000000" w:themeColor="text1"/>
        </w:rPr>
      </w:pPr>
      <w:r>
        <w:rPr>
          <w:color w:val="000000" w:themeColor="text1"/>
        </w:rPr>
        <w:t>法定代表人：                           法定代表人：</w:t>
      </w:r>
    </w:p>
    <w:p>
      <w:pPr>
        <w:overflowPunct w:val="0"/>
        <w:snapToGrid w:val="0"/>
        <w:spacing w:line="440" w:lineRule="exact"/>
        <w:rPr>
          <w:color w:val="000000" w:themeColor="text1"/>
        </w:rPr>
      </w:pPr>
      <w:r>
        <w:rPr>
          <w:color w:val="000000" w:themeColor="text1"/>
        </w:rPr>
        <w:t>委托代理人：                           委托代理人：</w:t>
      </w:r>
    </w:p>
    <w:p>
      <w:pPr>
        <w:overflowPunct w:val="0"/>
        <w:snapToGrid w:val="0"/>
        <w:spacing w:line="440" w:lineRule="exact"/>
        <w:rPr>
          <w:color w:val="000000" w:themeColor="text1"/>
        </w:rPr>
      </w:pPr>
      <w:r>
        <w:rPr>
          <w:color w:val="000000" w:themeColor="text1"/>
        </w:rPr>
        <w:t xml:space="preserve">电  话：     /                      </w:t>
      </w:r>
      <w:r>
        <w:rPr>
          <w:rFonts w:hint="eastAsia"/>
          <w:color w:val="000000" w:themeColor="text1"/>
          <w:lang w:val="en-US" w:eastAsia="zh-CN"/>
        </w:rPr>
        <w:t xml:space="preserve">  </w:t>
      </w:r>
      <w:r>
        <w:rPr>
          <w:color w:val="000000" w:themeColor="text1"/>
        </w:rPr>
        <w:t xml:space="preserve"> 电  话：</w:t>
      </w:r>
    </w:p>
    <w:p>
      <w:pPr>
        <w:overflowPunct w:val="0"/>
        <w:snapToGrid w:val="0"/>
        <w:spacing w:line="440" w:lineRule="exact"/>
        <w:rPr>
          <w:color w:val="000000" w:themeColor="text1"/>
        </w:rPr>
      </w:pPr>
      <w:r>
        <w:rPr>
          <w:color w:val="000000" w:themeColor="text1"/>
        </w:rPr>
        <w:t xml:space="preserve">传  真：     /                      </w:t>
      </w:r>
    </w:p>
    <w:p>
      <w:pPr>
        <w:overflowPunct w:val="0"/>
        <w:snapToGrid w:val="0"/>
        <w:spacing w:line="440" w:lineRule="exact"/>
        <w:rPr>
          <w:color w:val="000000" w:themeColor="text1"/>
        </w:rPr>
      </w:pPr>
      <w:r>
        <w:rPr>
          <w:color w:val="000000" w:themeColor="text1"/>
        </w:rPr>
        <w:t>电子信箱：                             电子信箱：</w:t>
      </w:r>
    </w:p>
    <w:p>
      <w:pPr>
        <w:overflowPunct w:val="0"/>
        <w:snapToGrid w:val="0"/>
        <w:spacing w:line="440" w:lineRule="exact"/>
        <w:ind w:left="5880" w:hanging="5880" w:hangingChars="2800"/>
        <w:rPr>
          <w:color w:val="000000" w:themeColor="text1"/>
        </w:rPr>
      </w:pPr>
      <w:r>
        <w:rPr>
          <w:color w:val="000000" w:themeColor="text1"/>
        </w:rPr>
        <w:t xml:space="preserve">开户银行：  /                           开户银行： </w:t>
      </w:r>
    </w:p>
    <w:p>
      <w:pPr>
        <w:overflowPunct w:val="0"/>
        <w:snapToGrid w:val="0"/>
        <w:spacing w:line="440" w:lineRule="exact"/>
        <w:rPr>
          <w:color w:val="000000" w:themeColor="text1"/>
        </w:rPr>
      </w:pPr>
      <w:r>
        <w:rPr>
          <w:color w:val="000000" w:themeColor="text1"/>
        </w:rPr>
        <w:t>账  号：   /                          账  号：</w:t>
      </w:r>
    </w:p>
    <w:p>
      <w:pPr>
        <w:overflowPunct w:val="0"/>
        <w:snapToGrid w:val="0"/>
        <w:spacing w:line="440" w:lineRule="exact"/>
        <w:ind w:firstLine="4830" w:firstLineChars="2300"/>
        <w:rPr>
          <w:color w:val="000000" w:themeColor="text1"/>
          <w:sz w:val="44"/>
          <w:szCs w:val="44"/>
        </w:rPr>
      </w:pPr>
      <w:r>
        <w:rPr>
          <w:color w:val="000000" w:themeColor="text1"/>
        </w:rPr>
        <w:t>签订日期：      年  月  日</w:t>
      </w:r>
    </w:p>
    <w:p>
      <w:pPr>
        <w:pStyle w:val="25"/>
      </w:pPr>
      <w:r>
        <w:br w:type="page"/>
      </w:r>
    </w:p>
    <w:p>
      <w:pPr>
        <w:jc w:val="center"/>
        <w:outlineLvl w:val="0"/>
        <w:rPr>
          <w:rFonts w:eastAsia="黑体"/>
          <w:color w:val="000000" w:themeColor="text1"/>
          <w:sz w:val="40"/>
          <w:szCs w:val="40"/>
        </w:rPr>
      </w:pPr>
      <w:bookmarkStart w:id="126" w:name="_Toc108021875"/>
      <w:r>
        <w:rPr>
          <w:rFonts w:eastAsia="黑体"/>
          <w:color w:val="000000" w:themeColor="text1"/>
          <w:sz w:val="40"/>
          <w:szCs w:val="40"/>
        </w:rPr>
        <w:t>第四章 项目需求</w:t>
      </w:r>
      <w:bookmarkEnd w:id="126"/>
    </w:p>
    <w:p>
      <w:pPr>
        <w:spacing w:line="440" w:lineRule="exact"/>
        <w:ind w:firstLine="482" w:firstLineChars="200"/>
        <w:rPr>
          <w:b/>
          <w:bCs/>
          <w:color w:val="000000" w:themeColor="text1"/>
          <w:sz w:val="24"/>
          <w:szCs w:val="24"/>
          <w:highlight w:val="yellow"/>
        </w:rPr>
      </w:pPr>
    </w:p>
    <w:p>
      <w:pPr>
        <w:spacing w:line="440" w:lineRule="exact"/>
        <w:ind w:firstLine="480" w:firstLineChars="200"/>
        <w:rPr>
          <w:rFonts w:eastAsia="黑体"/>
          <w:color w:val="000000" w:themeColor="text1"/>
          <w:sz w:val="24"/>
        </w:rPr>
      </w:pPr>
      <w:r>
        <w:rPr>
          <w:rFonts w:eastAsia="黑体"/>
          <w:color w:val="000000" w:themeColor="text1"/>
          <w:sz w:val="24"/>
        </w:rPr>
        <w:t>1.图书品种要求</w:t>
      </w:r>
    </w:p>
    <w:p>
      <w:pPr>
        <w:spacing w:line="440" w:lineRule="exact"/>
        <w:ind w:firstLine="480" w:firstLineChars="200"/>
        <w:rPr>
          <w:color w:val="000000" w:themeColor="text1"/>
          <w:sz w:val="24"/>
        </w:rPr>
      </w:pPr>
      <w:r>
        <w:rPr>
          <w:rFonts w:eastAsia="黑体"/>
          <w:color w:val="000000" w:themeColor="text1"/>
          <w:sz w:val="24"/>
        </w:rPr>
        <w:t>1.1　</w:t>
      </w:r>
      <w:r>
        <w:rPr>
          <w:color w:val="000000" w:themeColor="text1"/>
          <w:sz w:val="24"/>
        </w:rPr>
        <w:t>投标人提供招标人指定的待选图书品种（详见附件《2022年盐城幼儿师范高等专科学校中文纸质图书采购目录》）。</w:t>
      </w:r>
    </w:p>
    <w:p>
      <w:pPr>
        <w:spacing w:line="440" w:lineRule="exact"/>
        <w:ind w:firstLine="480" w:firstLineChars="200"/>
        <w:rPr>
          <w:color w:val="FF0000"/>
          <w:sz w:val="24"/>
        </w:rPr>
      </w:pPr>
      <w:r>
        <w:rPr>
          <w:color w:val="FF0000"/>
          <w:sz w:val="24"/>
        </w:rPr>
        <w:t>1.</w:t>
      </w:r>
      <w:r>
        <w:rPr>
          <w:rFonts w:hint="eastAsia"/>
          <w:color w:val="FF0000"/>
          <w:sz w:val="24"/>
        </w:rPr>
        <w:t>2</w:t>
      </w:r>
      <w:r>
        <w:rPr>
          <w:color w:val="FF0000"/>
          <w:sz w:val="24"/>
        </w:rPr>
        <w:t>　图书供货率低于9</w:t>
      </w:r>
      <w:r>
        <w:rPr>
          <w:rFonts w:hint="eastAsia"/>
          <w:color w:val="FF0000"/>
          <w:sz w:val="24"/>
        </w:rPr>
        <w:t>5</w:t>
      </w:r>
      <w:r>
        <w:rPr>
          <w:color w:val="FF0000"/>
          <w:sz w:val="24"/>
        </w:rPr>
        <w:t>%的投标文件为无效投标文件。</w:t>
      </w:r>
    </w:p>
    <w:p>
      <w:pPr>
        <w:spacing w:line="440" w:lineRule="exact"/>
        <w:ind w:firstLine="480" w:firstLineChars="200"/>
        <w:rPr>
          <w:color w:val="000000" w:themeColor="text1"/>
          <w:sz w:val="24"/>
        </w:rPr>
      </w:pPr>
      <w:r>
        <w:rPr>
          <w:color w:val="000000" w:themeColor="text1"/>
          <w:sz w:val="24"/>
        </w:rPr>
        <w:t>1.</w:t>
      </w:r>
      <w:r>
        <w:rPr>
          <w:rFonts w:hint="eastAsia"/>
          <w:color w:val="000000" w:themeColor="text1"/>
          <w:sz w:val="24"/>
        </w:rPr>
        <w:t>3</w:t>
      </w:r>
      <w:r>
        <w:rPr>
          <w:color w:val="000000" w:themeColor="text1"/>
          <w:sz w:val="24"/>
        </w:rPr>
        <w:t>　投标人提供的货物满足图书供货率后，招标人有权确定是否继续采购图书。</w:t>
      </w:r>
    </w:p>
    <w:p>
      <w:pPr>
        <w:spacing w:line="440" w:lineRule="exact"/>
        <w:ind w:firstLine="480" w:firstLineChars="200"/>
        <w:rPr>
          <w:b w:val="0"/>
          <w:bCs w:val="0"/>
          <w:color w:val="auto"/>
          <w:sz w:val="24"/>
        </w:rPr>
      </w:pPr>
      <w:r>
        <w:rPr>
          <w:color w:val="000000" w:themeColor="text1"/>
          <w:sz w:val="24"/>
        </w:rPr>
        <w:t>1.</w:t>
      </w:r>
      <w:r>
        <w:rPr>
          <w:rFonts w:hint="eastAsia"/>
          <w:color w:val="000000" w:themeColor="text1"/>
          <w:sz w:val="24"/>
        </w:rPr>
        <w:t>4</w:t>
      </w:r>
      <w:r>
        <w:rPr>
          <w:color w:val="000000" w:themeColor="text1"/>
          <w:sz w:val="24"/>
        </w:rPr>
        <w:t xml:space="preserve"> 图书供货数量必须满足招标人提供</w:t>
      </w:r>
      <w:r>
        <w:rPr>
          <w:b w:val="0"/>
          <w:bCs w:val="0"/>
          <w:color w:val="auto"/>
          <w:sz w:val="24"/>
        </w:rPr>
        <w:t>的数量要求，投标报价时按招标人提供的2022年馆藏纸质图书采购书目供货数量的册数要求（</w:t>
      </w:r>
      <w:r>
        <w:rPr>
          <w:rFonts w:hint="eastAsia"/>
          <w:b w:val="0"/>
          <w:bCs w:val="0"/>
          <w:color w:val="auto"/>
          <w:sz w:val="24"/>
        </w:rPr>
        <w:t>一般为2册，少量教育类图书可为3册</w:t>
      </w:r>
      <w:r>
        <w:rPr>
          <w:b w:val="0"/>
          <w:bCs w:val="0"/>
          <w:color w:val="auto"/>
          <w:sz w:val="24"/>
        </w:rPr>
        <w:t>）。</w:t>
      </w:r>
    </w:p>
    <w:p>
      <w:pPr>
        <w:spacing w:line="440" w:lineRule="exact"/>
        <w:ind w:firstLine="480" w:firstLineChars="200"/>
        <w:rPr>
          <w:rFonts w:eastAsia="黑体"/>
          <w:color w:val="000000" w:themeColor="text1"/>
          <w:sz w:val="24"/>
        </w:rPr>
      </w:pPr>
      <w:r>
        <w:rPr>
          <w:rFonts w:eastAsia="黑体"/>
          <w:color w:val="000000" w:themeColor="text1"/>
          <w:sz w:val="24"/>
        </w:rPr>
        <w:t>2.图书质量要求</w:t>
      </w:r>
    </w:p>
    <w:p>
      <w:pPr>
        <w:spacing w:line="440" w:lineRule="exact"/>
        <w:ind w:firstLine="480" w:firstLineChars="200"/>
        <w:rPr>
          <w:color w:val="000000" w:themeColor="text1"/>
          <w:sz w:val="24"/>
        </w:rPr>
      </w:pPr>
      <w:r>
        <w:rPr>
          <w:color w:val="000000" w:themeColor="text1"/>
          <w:sz w:val="24"/>
        </w:rPr>
        <w:t>2.1　投标人必须保证销售的图书是正版，保证供应图书的版本与来源合法，并对所供应的图书版本、知识产权、进货来源承担相应的法律责任，满足GB9851印刷行业标准，一经查实有盗版盗印图书，采购方将拒收所有图书，没收履约保证金，并移交相关部门处理。</w:t>
      </w:r>
    </w:p>
    <w:p>
      <w:pPr>
        <w:spacing w:line="440" w:lineRule="exact"/>
        <w:ind w:firstLine="480" w:firstLineChars="200"/>
        <w:rPr>
          <w:color w:val="000000" w:themeColor="text1"/>
          <w:sz w:val="24"/>
        </w:rPr>
      </w:pPr>
      <w:r>
        <w:rPr>
          <w:color w:val="000000" w:themeColor="text1"/>
          <w:sz w:val="24"/>
        </w:rPr>
        <w:t>2.2　所供图书的版权和国际标准书号（ISBN）及条形码标志必须完备清晰。版权页有包括图书在版编目（CIP）数据、出版单位名称及地址、图书开本、版次、印数等相关资料。</w:t>
      </w:r>
    </w:p>
    <w:p>
      <w:pPr>
        <w:spacing w:line="440" w:lineRule="exact"/>
        <w:ind w:firstLine="480" w:firstLineChars="200"/>
        <w:rPr>
          <w:color w:val="000000" w:themeColor="text1"/>
          <w:sz w:val="24"/>
        </w:rPr>
      </w:pPr>
      <w:r>
        <w:rPr>
          <w:color w:val="000000" w:themeColor="text1"/>
          <w:sz w:val="24"/>
        </w:rPr>
        <w:t>2.3　在任意时段，采购单位在使用过程中若发现有污损、漏页、缺页、倒页、印刷字迹不清等不符合要求的图书(人为因素除外)，一律予以换货或退货，而由此造成的任何损失及费用全部由中标供应商承担。</w:t>
      </w:r>
    </w:p>
    <w:p>
      <w:pPr>
        <w:spacing w:line="440" w:lineRule="exact"/>
        <w:ind w:firstLine="480" w:firstLineChars="200"/>
        <w:rPr>
          <w:rFonts w:eastAsia="黑体"/>
          <w:color w:val="000000" w:themeColor="text1"/>
          <w:sz w:val="24"/>
        </w:rPr>
      </w:pPr>
      <w:r>
        <w:rPr>
          <w:rFonts w:eastAsia="黑体"/>
          <w:color w:val="000000" w:themeColor="text1"/>
          <w:sz w:val="24"/>
        </w:rPr>
        <w:t>3.项目工期要求</w:t>
      </w:r>
    </w:p>
    <w:p>
      <w:pPr>
        <w:spacing w:line="440" w:lineRule="exact"/>
        <w:ind w:firstLine="480" w:firstLineChars="200"/>
        <w:rPr>
          <w:color w:val="000000" w:themeColor="text1"/>
          <w:sz w:val="24"/>
        </w:rPr>
      </w:pPr>
      <w:r>
        <w:rPr>
          <w:color w:val="000000" w:themeColor="text1"/>
          <w:sz w:val="24"/>
        </w:rPr>
        <w:t>中标单位必须严格按照采购单位提供的图书采购目录及数量配书并及时供货，自签订合同之日起，30日内图书到货完毕，60日内编目上架完毕。加工和上架工作，延期一天将处罚金50元。必须保证编目加工的质量，加工差错率大于3‰，按单一进书批次来计算，则每大于0.1个百分点，将处罚金100元，该罚金将从投标人交纳的购书款中扣除。合计工期60个日历天。</w:t>
      </w:r>
    </w:p>
    <w:p>
      <w:pPr>
        <w:spacing w:line="440" w:lineRule="exact"/>
        <w:ind w:firstLine="480" w:firstLineChars="200"/>
        <w:rPr>
          <w:rFonts w:eastAsia="黑体"/>
          <w:color w:val="000000" w:themeColor="text1"/>
          <w:sz w:val="24"/>
        </w:rPr>
      </w:pPr>
      <w:r>
        <w:rPr>
          <w:rFonts w:eastAsia="黑体"/>
          <w:color w:val="000000" w:themeColor="text1"/>
          <w:sz w:val="24"/>
        </w:rPr>
        <w:t>4.服务要求</w:t>
      </w:r>
    </w:p>
    <w:p>
      <w:pPr>
        <w:spacing w:line="440" w:lineRule="exact"/>
        <w:ind w:firstLine="480" w:firstLineChars="200"/>
        <w:rPr>
          <w:color w:val="000000" w:themeColor="text1"/>
          <w:sz w:val="24"/>
        </w:rPr>
      </w:pPr>
      <w:r>
        <w:rPr>
          <w:color w:val="000000" w:themeColor="text1"/>
          <w:sz w:val="24"/>
        </w:rPr>
        <w:t xml:space="preserve">4.1 免费送货：所有订购图书须由中标单位免费送到采购单位指定地点。 </w:t>
      </w:r>
    </w:p>
    <w:p>
      <w:pPr>
        <w:spacing w:line="440" w:lineRule="exact"/>
        <w:ind w:firstLine="480" w:firstLineChars="200"/>
        <w:rPr>
          <w:color w:val="000000" w:themeColor="text1"/>
          <w:sz w:val="24"/>
        </w:rPr>
      </w:pPr>
      <w:r>
        <w:rPr>
          <w:color w:val="000000" w:themeColor="text1"/>
          <w:sz w:val="24"/>
        </w:rPr>
        <w:t>4.2 清单要求：提供总明细清单纸质稿2份，电子稿一份，便于到货后清点核对。总明细清单内容包括：图书书名、ISBN号、出版社、出版时间、种数、册数、码洋价、实洋价。供货方按我馆要求提供批量验收用MARC数据，此数据在种数上须与编目MARC数据一致</w:t>
      </w:r>
    </w:p>
    <w:p>
      <w:pPr>
        <w:spacing w:line="440" w:lineRule="exact"/>
        <w:ind w:firstLine="480" w:firstLineChars="200"/>
        <w:rPr>
          <w:color w:val="000000" w:themeColor="text1"/>
          <w:sz w:val="24"/>
        </w:rPr>
      </w:pPr>
      <w:r>
        <w:rPr>
          <w:color w:val="000000" w:themeColor="text1"/>
          <w:sz w:val="24"/>
        </w:rPr>
        <w:t>4.3  包装要求：图书外包装使用防潮牛皮纸、内附瓦楞纸，包面并注明采购单位名称。</w:t>
      </w:r>
    </w:p>
    <w:p>
      <w:pPr>
        <w:spacing w:line="440" w:lineRule="exact"/>
        <w:ind w:firstLine="480" w:firstLineChars="200"/>
        <w:rPr>
          <w:color w:val="000000" w:themeColor="text1"/>
          <w:kern w:val="24"/>
          <w:sz w:val="24"/>
        </w:rPr>
      </w:pPr>
      <w:r>
        <w:rPr>
          <w:color w:val="000000" w:themeColor="text1"/>
          <w:kern w:val="24"/>
          <w:sz w:val="24"/>
        </w:rPr>
        <w:t>4.4  图书质保期</w:t>
      </w:r>
      <w:r>
        <w:rPr>
          <w:rFonts w:hint="eastAsia"/>
          <w:color w:val="000000" w:themeColor="text1"/>
          <w:kern w:val="24"/>
          <w:sz w:val="24"/>
        </w:rPr>
        <w:t>一</w:t>
      </w:r>
      <w:r>
        <w:rPr>
          <w:color w:val="000000" w:themeColor="text1"/>
          <w:kern w:val="24"/>
          <w:sz w:val="24"/>
        </w:rPr>
        <w:t>年: 自验收合格</w:t>
      </w:r>
      <w:r>
        <w:rPr>
          <w:rFonts w:hint="eastAsia"/>
          <w:color w:val="000000" w:themeColor="text1"/>
          <w:kern w:val="24"/>
          <w:sz w:val="24"/>
        </w:rPr>
        <w:t>一</w:t>
      </w:r>
      <w:r>
        <w:rPr>
          <w:color w:val="000000" w:themeColor="text1"/>
          <w:kern w:val="24"/>
          <w:sz w:val="24"/>
        </w:rPr>
        <w:t>年内，用户若发现图书的质量、规格与合同不符，有污损、漏页、缺页、倒页、印刷字迹不清等不符合要求的图书（人为因素除外），中标人必须无条件退货或免费予以调换，须在收到通知后五日内免费更换。</w:t>
      </w:r>
    </w:p>
    <w:p>
      <w:pPr>
        <w:spacing w:line="440" w:lineRule="exact"/>
        <w:ind w:firstLine="480" w:firstLineChars="200"/>
        <w:rPr>
          <w:color w:val="000000" w:themeColor="text1"/>
          <w:sz w:val="24"/>
        </w:rPr>
      </w:pPr>
      <w:r>
        <w:rPr>
          <w:color w:val="000000" w:themeColor="text1"/>
          <w:sz w:val="24"/>
        </w:rPr>
        <w:t>4.5 编目上架服务</w:t>
      </w:r>
      <w:r>
        <w:rPr>
          <w:rFonts w:hint="eastAsia"/>
          <w:color w:val="000000" w:themeColor="text1"/>
          <w:sz w:val="24"/>
        </w:rPr>
        <w:t>：</w:t>
      </w:r>
      <w:r>
        <w:rPr>
          <w:color w:val="000000" w:themeColor="text1"/>
          <w:sz w:val="24"/>
        </w:rPr>
        <w:t>中标人免费为所购新书提供到馆全面的加工、编目、典藏、上架服务，如在我馆所在地雇佣编目、加工等人员，必须符合国家法律并按地方相关规定执行，同时遵守我校安全保卫方面的规章制度，保证安全。中标人必须提供熟练售后服务技术人员全程驻馆服务，并在图书馆工作人员的具体要求和指导下进行包括编目、物理加工等工作，驻馆、编目人员必须由专人从事，中途不经同意不可随便更换编目人员，编目人员交通、食宿自理。</w:t>
      </w:r>
    </w:p>
    <w:p>
      <w:pPr>
        <w:spacing w:line="440" w:lineRule="exact"/>
        <w:ind w:firstLine="480" w:firstLineChars="200"/>
        <w:rPr>
          <w:color w:val="000000" w:themeColor="text1"/>
          <w:sz w:val="24"/>
        </w:rPr>
      </w:pPr>
      <w:r>
        <w:rPr>
          <w:color w:val="000000" w:themeColor="text1"/>
          <w:sz w:val="24"/>
        </w:rPr>
        <w:t>4.5.1　图书编目内容及要求：</w:t>
      </w:r>
    </w:p>
    <w:p>
      <w:pPr>
        <w:spacing w:line="440" w:lineRule="exact"/>
        <w:ind w:firstLine="480" w:firstLineChars="200"/>
        <w:rPr>
          <w:color w:val="000000" w:themeColor="text1"/>
          <w:sz w:val="24"/>
        </w:rPr>
      </w:pPr>
      <w:r>
        <w:rPr>
          <w:color w:val="000000" w:themeColor="text1"/>
          <w:sz w:val="24"/>
        </w:rPr>
        <w:t>中标供应商需免费为本次采购的图书按照采购方具体编目要求进行图书编目、上架，费用包含于采购费用中，不另外计算。必须严格地按照《国际标准书目著录（ISBD）》和《中国文献著录标准（GB3792）》所规定的国家统一-标准，图书到馆验收时，供应商能够提供印刷和机读目录，包括采访数据和编目MARC数据，数据格式符合《CALIS联合目录中文图书著录细则》标准，图书分类以《中国图书馆分类法(第五版)》为准。供应商提供的MARC数据与采购方汇文图书管理系统完全整合，同时能确保所提供的数据能正常传递、下载、 数据导入并及时更新。对于不符合规定的编目数据和加工，要及时重新编目和加工，以保证图书验收合格后便能立即进入流通。</w:t>
      </w:r>
    </w:p>
    <w:p>
      <w:pPr>
        <w:spacing w:line="440" w:lineRule="exact"/>
        <w:ind w:firstLine="480" w:firstLineChars="200"/>
        <w:rPr>
          <w:color w:val="000000" w:themeColor="text1"/>
          <w:sz w:val="24"/>
        </w:rPr>
      </w:pPr>
      <w:r>
        <w:rPr>
          <w:color w:val="000000" w:themeColor="text1"/>
          <w:sz w:val="24"/>
        </w:rPr>
        <w:t>4.5.2　具体编目要求如下：</w:t>
      </w:r>
    </w:p>
    <w:p>
      <w:pPr>
        <w:spacing w:line="440" w:lineRule="exact"/>
        <w:ind w:firstLine="480" w:firstLineChars="200"/>
        <w:rPr>
          <w:color w:val="000000" w:themeColor="text1"/>
          <w:sz w:val="24"/>
        </w:rPr>
      </w:pPr>
      <w:r>
        <w:rPr>
          <w:color w:val="000000" w:themeColor="text1"/>
          <w:sz w:val="24"/>
        </w:rPr>
        <w:t>（1）盖馆藏章3个。字体朝上，字迹清晰；分别位于内首页中间位置、第九页右上角和内尾页中间位置。</w:t>
      </w:r>
    </w:p>
    <w:p>
      <w:pPr>
        <w:spacing w:line="440" w:lineRule="exact"/>
        <w:ind w:firstLine="480" w:firstLineChars="200"/>
        <w:rPr>
          <w:color w:val="000000" w:themeColor="text1"/>
          <w:sz w:val="24"/>
        </w:rPr>
      </w:pPr>
      <w:r>
        <w:rPr>
          <w:color w:val="000000" w:themeColor="text1"/>
          <w:sz w:val="24"/>
        </w:rPr>
        <w:t>（2）贴磁条1-2根。可充消的16cm复合钴基磁条，磁条长度不低于12厘米，贴在总页数中间页数位置；300页以内贴1根，300页以上贴2根；所贴磁条不易发现。</w:t>
      </w:r>
    </w:p>
    <w:p>
      <w:pPr>
        <w:spacing w:line="440" w:lineRule="exact"/>
        <w:ind w:firstLine="480" w:firstLineChars="200"/>
        <w:rPr>
          <w:color w:val="000000" w:themeColor="text1"/>
          <w:sz w:val="24"/>
        </w:rPr>
      </w:pPr>
      <w:r>
        <w:rPr>
          <w:color w:val="000000" w:themeColor="text1"/>
          <w:sz w:val="24"/>
        </w:rPr>
        <w:t>（3）贴书标1个。贴在书脊上，书标为红框白底，要求竖贴，距离底边3cm；书标两行，第一行为分类号，第二行为种次号，位于书脊中央，新增图书种次号从01-01开始，重复图书从我馆现有图书种次号开始排；贴书标贴膜，用透明宽胶带，贴在书脊的书标上，要大于书标，并且贴平整。</w:t>
      </w:r>
    </w:p>
    <w:p>
      <w:pPr>
        <w:spacing w:line="440" w:lineRule="exact"/>
        <w:ind w:firstLine="480" w:firstLineChars="200"/>
        <w:rPr>
          <w:color w:val="000000" w:themeColor="text1"/>
          <w:sz w:val="24"/>
        </w:rPr>
      </w:pPr>
      <w:r>
        <w:rPr>
          <w:color w:val="000000" w:themeColor="text1"/>
          <w:sz w:val="24"/>
        </w:rPr>
        <w:t>（4）打财产号2个。一个打在题名页出版社上方位置，另一个打在第九页右上角；字体朝上，端正清楚。</w:t>
      </w:r>
    </w:p>
    <w:p>
      <w:pPr>
        <w:spacing w:line="440" w:lineRule="exact"/>
        <w:ind w:firstLine="480" w:firstLineChars="200"/>
        <w:rPr>
          <w:color w:val="000000" w:themeColor="text1"/>
          <w:sz w:val="24"/>
        </w:rPr>
      </w:pPr>
      <w:r>
        <w:rPr>
          <w:rFonts w:hint="eastAsia"/>
          <w:color w:val="000000" w:themeColor="text1"/>
          <w:sz w:val="24"/>
        </w:rPr>
        <w:t>（5）贴条形码1个。贴在题名页出版社上方位置；条形码上的财产号从图书馆指定的号码开始；条形码上注明“盐城幼专图书馆”字样。</w:t>
      </w:r>
    </w:p>
    <w:p>
      <w:pPr>
        <w:spacing w:line="440" w:lineRule="exact"/>
        <w:ind w:firstLine="480" w:firstLineChars="200"/>
        <w:rPr>
          <w:color w:val="000000" w:themeColor="text1"/>
          <w:sz w:val="24"/>
        </w:rPr>
      </w:pPr>
      <w:r>
        <w:rPr>
          <w:color w:val="000000" w:themeColor="text1"/>
          <w:sz w:val="24"/>
        </w:rPr>
        <w:t>（6）编目录入。严格地按照《国际标准书目著录（ISBD）》和《中国文献著录标准（GB3792）》来进行编目录入，数据格式符合《CALIS联合目录中文图书著录细则》标准，图书分类以《中国图书馆分类法(第五版)》为准。必须完整地根据图书所提供的实际信息，将ISBN、物理媒体标志、作品语种、正题名、副题名、并列题名、丛书题名、分辑名、分辑号、卷册说明卷册总价、主要责任者及国别年代、责任方式、出版年月、出版社、页码、尺寸、价格、分类号、索书号、装帧、版次、主题词(与中图法第五版对应)等准确地输入到图书管理软件中。图书加工公司提供的MARC数据与图书管理系统完全整合，确保数据能正常传递、下载、数据导入并及时更新，保证图书加工验收合格后便能立即进入流通。</w:t>
      </w:r>
    </w:p>
    <w:p>
      <w:pPr>
        <w:spacing w:line="440" w:lineRule="exact"/>
        <w:ind w:firstLine="480" w:firstLineChars="200"/>
        <w:rPr>
          <w:color w:val="000000" w:themeColor="text1"/>
          <w:sz w:val="24"/>
        </w:rPr>
      </w:pPr>
      <w:r>
        <w:rPr>
          <w:color w:val="000000" w:themeColor="text1"/>
          <w:sz w:val="24"/>
        </w:rPr>
        <w:t>（7）图书上架。按中图法第五版分类号及种次号顺序，在图书馆工作人员指导下，按图书馆排架方式将图书分类均匀摆放到图书馆指定的书架上。</w:t>
      </w:r>
    </w:p>
    <w:p>
      <w:pPr>
        <w:spacing w:line="440" w:lineRule="exact"/>
        <w:ind w:firstLine="480" w:firstLineChars="200"/>
        <w:rPr>
          <w:color w:val="000000" w:themeColor="text1"/>
          <w:sz w:val="24"/>
        </w:rPr>
      </w:pPr>
      <w:r>
        <w:rPr>
          <w:color w:val="000000" w:themeColor="text1"/>
          <w:sz w:val="24"/>
        </w:rPr>
        <w:t>（8）提供耗材。学校图书馆提供电脑、电源、网络、汇文图书管理系统、印章、号码机等，中标人按照我馆要求的品牌、规格提供磁条、书标、条形码、打印色带和各色印油等全部耗材。</w:t>
      </w:r>
    </w:p>
    <w:p>
      <w:pPr>
        <w:spacing w:line="440" w:lineRule="exact"/>
        <w:ind w:firstLine="480" w:firstLineChars="200"/>
        <w:rPr>
          <w:color w:val="000000" w:themeColor="text1"/>
          <w:sz w:val="24"/>
        </w:rPr>
      </w:pPr>
      <w:r>
        <w:rPr>
          <w:color w:val="000000" w:themeColor="text1"/>
          <w:sz w:val="24"/>
        </w:rPr>
        <w:t>4.6 验收要求：供应商应将图书及时、安全、免费送达指定地。图书送达后不能与我馆共同核对的，以我馆验收情况为准。</w:t>
      </w:r>
    </w:p>
    <w:p>
      <w:pPr>
        <w:spacing w:line="440" w:lineRule="exact"/>
        <w:ind w:firstLine="480" w:firstLineChars="200"/>
        <w:rPr>
          <w:color w:val="000000" w:themeColor="text1"/>
          <w:sz w:val="24"/>
        </w:rPr>
      </w:pPr>
      <w:r>
        <w:rPr>
          <w:color w:val="000000" w:themeColor="text1"/>
          <w:sz w:val="24"/>
        </w:rPr>
        <w:t>4.7 退补要求：对于订单上没有的图书，采购方有权退回。由于出版及运输环节等因素导致影响阅读或使用的残损图书，供应商应及时调换。</w:t>
      </w:r>
    </w:p>
    <w:p>
      <w:pPr>
        <w:spacing w:line="440" w:lineRule="exact"/>
        <w:ind w:firstLine="480" w:firstLineChars="200"/>
        <w:rPr>
          <w:color w:val="000000" w:themeColor="text1"/>
          <w:sz w:val="24"/>
        </w:rPr>
      </w:pPr>
      <w:r>
        <w:rPr>
          <w:color w:val="000000" w:themeColor="text1"/>
          <w:sz w:val="24"/>
        </w:rPr>
        <w:t>4.8 售后要求：保证每周7×24小时提供网络、电话和E-mail等售后服务支持。</w:t>
      </w:r>
    </w:p>
    <w:p>
      <w:pPr>
        <w:spacing w:line="440" w:lineRule="exact"/>
        <w:ind w:firstLine="480" w:firstLineChars="200"/>
        <w:rPr>
          <w:rFonts w:eastAsia="黑体"/>
          <w:color w:val="000000" w:themeColor="text1"/>
          <w:sz w:val="24"/>
        </w:rPr>
      </w:pPr>
      <w:r>
        <w:rPr>
          <w:rFonts w:eastAsia="黑体"/>
          <w:color w:val="000000" w:themeColor="text1"/>
          <w:sz w:val="24"/>
        </w:rPr>
        <w:t>5.履约保证金</w:t>
      </w:r>
    </w:p>
    <w:p>
      <w:pPr>
        <w:adjustRightInd w:val="0"/>
        <w:snapToGrid w:val="0"/>
        <w:spacing w:line="440" w:lineRule="exact"/>
        <w:ind w:firstLine="480" w:firstLineChars="200"/>
        <w:rPr>
          <w:sz w:val="24"/>
        </w:rPr>
      </w:pPr>
      <w:r>
        <w:rPr>
          <w:color w:val="000000" w:themeColor="text1"/>
          <w:sz w:val="24"/>
        </w:rPr>
        <w:t>履约保证金为合同价款的10%，在签订合同前由中标人转至招标人指定账户，</w:t>
      </w:r>
      <w:r>
        <w:rPr>
          <w:sz w:val="24"/>
        </w:rPr>
        <w:t>供货编目加工上架完成并验收合格后无息退还。</w:t>
      </w:r>
    </w:p>
    <w:p>
      <w:pPr>
        <w:spacing w:line="440" w:lineRule="exact"/>
        <w:ind w:firstLine="480" w:firstLineChars="200"/>
        <w:rPr>
          <w:sz w:val="24"/>
          <w:szCs w:val="24"/>
        </w:rPr>
      </w:pPr>
      <w:r>
        <w:rPr>
          <w:rFonts w:hint="eastAsia"/>
          <w:sz w:val="24"/>
          <w:szCs w:val="24"/>
        </w:rPr>
        <w:t>鼓励采购人对AA评级及以上政府采购供应商（需提供信用管理部门备案的第三方信用报告），免收履约保证金或降低履约保证金缴纳比例。</w:t>
      </w:r>
    </w:p>
    <w:p>
      <w:pPr>
        <w:spacing w:line="440" w:lineRule="exact"/>
        <w:ind w:firstLine="480" w:firstLineChars="200"/>
        <w:rPr>
          <w:rFonts w:eastAsia="黑体"/>
          <w:sz w:val="24"/>
        </w:rPr>
      </w:pPr>
      <w:r>
        <w:rPr>
          <w:rFonts w:hint="eastAsia" w:eastAsia="黑体"/>
          <w:sz w:val="24"/>
        </w:rPr>
        <w:t>6</w:t>
      </w:r>
      <w:r>
        <w:rPr>
          <w:rFonts w:eastAsia="黑体"/>
          <w:sz w:val="24"/>
        </w:rPr>
        <w:t>.货款结算</w:t>
      </w:r>
    </w:p>
    <w:p>
      <w:pPr>
        <w:adjustRightInd w:val="0"/>
        <w:snapToGrid w:val="0"/>
        <w:spacing w:line="440" w:lineRule="exact"/>
        <w:ind w:firstLine="480" w:firstLineChars="200"/>
        <w:rPr>
          <w:sz w:val="24"/>
        </w:rPr>
      </w:pPr>
      <w:r>
        <w:rPr>
          <w:sz w:val="24"/>
        </w:rPr>
        <w:t>结算办法及期限：采购人以实洋金额支付货款，实洋金额＝码洋金额×码洋折价率。按清单货物到货实洋价的90%支付首付款；供货编目加工上架完成并验收合格后，凭税务发票由采购人支付合同报价的95%的货款，支付第二批货款(实洋价</w:t>
      </w:r>
      <w:r>
        <w:rPr>
          <w:rFonts w:hint="eastAsia"/>
          <w:sz w:val="24"/>
        </w:rPr>
        <w:t>—</w:t>
      </w:r>
      <w:r>
        <w:rPr>
          <w:sz w:val="24"/>
        </w:rPr>
        <w:t>首付款)。</w:t>
      </w:r>
      <w:bookmarkStart w:id="127" w:name="_Toc92297387"/>
    </w:p>
    <w:p>
      <w:pPr>
        <w:spacing w:line="440" w:lineRule="exact"/>
        <w:ind w:firstLine="480" w:firstLineChars="200"/>
        <w:rPr>
          <w:rFonts w:eastAsia="黑体"/>
          <w:color w:val="FF0000"/>
          <w:sz w:val="24"/>
        </w:rPr>
      </w:pPr>
      <w:r>
        <w:rPr>
          <w:rFonts w:hint="eastAsia" w:eastAsia="黑体"/>
          <w:color w:val="FF0000"/>
          <w:sz w:val="24"/>
        </w:rPr>
        <w:t>7</w:t>
      </w:r>
      <w:r>
        <w:rPr>
          <w:rFonts w:eastAsia="黑体"/>
          <w:color w:val="FF0000"/>
          <w:sz w:val="24"/>
        </w:rPr>
        <w:t>.其他要求</w:t>
      </w:r>
    </w:p>
    <w:p>
      <w:pPr>
        <w:spacing w:line="440" w:lineRule="exact"/>
        <w:ind w:firstLine="480" w:firstLineChars="200"/>
        <w:rPr>
          <w:color w:val="FF0000"/>
          <w:sz w:val="24"/>
        </w:rPr>
      </w:pPr>
      <w:r>
        <w:rPr>
          <w:color w:val="FF0000"/>
          <w:sz w:val="24"/>
        </w:rPr>
        <w:t>投标人开标现场需提供100本样书(从待选图书清单中任意选择)</w:t>
      </w:r>
      <w:r>
        <w:rPr>
          <w:rFonts w:hint="eastAsia"/>
          <w:color w:val="FF0000"/>
          <w:sz w:val="24"/>
        </w:rPr>
        <w:t>，</w:t>
      </w:r>
      <w:r>
        <w:rPr>
          <w:color w:val="FF0000"/>
          <w:sz w:val="24"/>
        </w:rPr>
        <w:t>主要考察投标人采购图书的能力及到书准时性，样书质量要装订平整、牢固，图案、文字清晰有层次，色调饱和，纸张表面光滑且颜色和厚度一致，不提供作无效投标处理。非中标候选人的样书在评标结束后退还</w:t>
      </w:r>
      <w:r>
        <w:rPr>
          <w:rFonts w:hint="eastAsia"/>
          <w:color w:val="FF0000"/>
          <w:sz w:val="24"/>
        </w:rPr>
        <w:t>，</w:t>
      </w:r>
      <w:r>
        <w:rPr>
          <w:color w:val="FF0000"/>
          <w:sz w:val="24"/>
        </w:rPr>
        <w:t>中标候选人的样书采购人进行保管、封存，并作为履约验收的参考。</w:t>
      </w:r>
    </w:p>
    <w:p>
      <w:pPr>
        <w:adjustRightInd w:val="0"/>
        <w:snapToGrid w:val="0"/>
        <w:spacing w:line="440" w:lineRule="exact"/>
        <w:ind w:firstLine="480" w:firstLineChars="200"/>
        <w:rPr>
          <w:sz w:val="24"/>
        </w:rPr>
      </w:pPr>
    </w:p>
    <w:p>
      <w:pPr>
        <w:adjustRightInd w:val="0"/>
        <w:snapToGrid w:val="0"/>
        <w:spacing w:line="360" w:lineRule="auto"/>
        <w:ind w:firstLine="480" w:firstLineChars="200"/>
        <w:rPr>
          <w:sz w:val="24"/>
        </w:rPr>
      </w:pPr>
    </w:p>
    <w:p>
      <w:pPr>
        <w:adjustRightInd w:val="0"/>
        <w:snapToGrid w:val="0"/>
        <w:spacing w:line="360" w:lineRule="auto"/>
        <w:ind w:firstLine="480" w:firstLineChars="200"/>
        <w:rPr>
          <w:sz w:val="24"/>
        </w:rPr>
      </w:pPr>
    </w:p>
    <w:p>
      <w:pPr>
        <w:adjustRightInd w:val="0"/>
        <w:snapToGrid w:val="0"/>
        <w:spacing w:line="360" w:lineRule="auto"/>
        <w:ind w:firstLine="480" w:firstLineChars="200"/>
        <w:rPr>
          <w:sz w:val="24"/>
        </w:rPr>
      </w:pPr>
    </w:p>
    <w:p>
      <w:pPr>
        <w:adjustRightInd w:val="0"/>
        <w:snapToGrid w:val="0"/>
        <w:spacing w:line="360" w:lineRule="auto"/>
        <w:ind w:firstLine="480" w:firstLineChars="200"/>
        <w:rPr>
          <w:sz w:val="24"/>
        </w:rPr>
      </w:pPr>
    </w:p>
    <w:p>
      <w:pPr>
        <w:adjustRightInd w:val="0"/>
        <w:snapToGrid w:val="0"/>
        <w:spacing w:line="360" w:lineRule="auto"/>
        <w:rPr>
          <w:sz w:val="24"/>
        </w:rPr>
      </w:pPr>
    </w:p>
    <w:p>
      <w:pPr>
        <w:jc w:val="left"/>
        <w:rPr>
          <w:rFonts w:eastAsia="黑体"/>
          <w:sz w:val="44"/>
          <w:szCs w:val="44"/>
        </w:rPr>
      </w:pPr>
      <w:r>
        <w:rPr>
          <w:rFonts w:eastAsia="黑体"/>
          <w:sz w:val="44"/>
          <w:szCs w:val="44"/>
        </w:rPr>
        <w:br w:type="page"/>
      </w:r>
    </w:p>
    <w:p>
      <w:pPr>
        <w:jc w:val="center"/>
        <w:outlineLvl w:val="0"/>
        <w:rPr>
          <w:rFonts w:eastAsia="黑体"/>
          <w:color w:val="000000" w:themeColor="text1"/>
          <w:sz w:val="40"/>
          <w:szCs w:val="40"/>
        </w:rPr>
      </w:pPr>
      <w:bookmarkStart w:id="128" w:name="_Toc108021876"/>
      <w:r>
        <w:rPr>
          <w:rFonts w:eastAsia="黑体"/>
          <w:sz w:val="40"/>
          <w:szCs w:val="40"/>
        </w:rPr>
        <w:t>第五章 定标原则</w:t>
      </w:r>
      <w:r>
        <w:rPr>
          <w:rFonts w:eastAsia="黑体"/>
          <w:color w:val="000000" w:themeColor="text1"/>
          <w:sz w:val="40"/>
          <w:szCs w:val="40"/>
        </w:rPr>
        <w:t>与评标标准</w:t>
      </w:r>
      <w:bookmarkEnd w:id="127"/>
      <w:bookmarkEnd w:id="128"/>
    </w:p>
    <w:p>
      <w:pPr>
        <w:spacing w:line="440" w:lineRule="exact"/>
        <w:ind w:firstLine="482" w:firstLineChars="200"/>
        <w:rPr>
          <w:rFonts w:eastAsiaTheme="minorEastAsia"/>
          <w:b/>
          <w:color w:val="000000" w:themeColor="text1"/>
          <w:sz w:val="24"/>
          <w:szCs w:val="24"/>
        </w:rPr>
      </w:pPr>
    </w:p>
    <w:p>
      <w:pPr>
        <w:spacing w:line="440" w:lineRule="exact"/>
        <w:ind w:firstLine="482" w:firstLineChars="200"/>
        <w:rPr>
          <w:rFonts w:eastAsiaTheme="minorEastAsia"/>
          <w:b/>
          <w:color w:val="000000" w:themeColor="text1"/>
          <w:sz w:val="24"/>
          <w:szCs w:val="24"/>
        </w:rPr>
      </w:pPr>
      <w:r>
        <w:rPr>
          <w:rFonts w:eastAsiaTheme="minorEastAsia"/>
          <w:b/>
          <w:color w:val="000000" w:themeColor="text1"/>
          <w:sz w:val="24"/>
          <w:szCs w:val="24"/>
        </w:rPr>
        <w:t>一、定标原则</w:t>
      </w:r>
    </w:p>
    <w:p>
      <w:pPr>
        <w:spacing w:line="360" w:lineRule="auto"/>
        <w:ind w:firstLine="480"/>
        <w:rPr>
          <w:rFonts w:cs="宋体"/>
          <w:bCs/>
          <w:kern w:val="0"/>
          <w:sz w:val="24"/>
          <w:szCs w:val="24"/>
        </w:rPr>
      </w:pPr>
      <w:r>
        <w:rPr>
          <w:color w:val="000000" w:themeColor="text1"/>
          <w:sz w:val="24"/>
          <w:szCs w:val="24"/>
        </w:rPr>
        <w:t xml:space="preserve">本项目采用 </w:t>
      </w:r>
      <w:r>
        <w:rPr>
          <w:color w:val="000000" w:themeColor="text1"/>
          <w:sz w:val="24"/>
          <w:szCs w:val="24"/>
          <w:u w:val="single"/>
        </w:rPr>
        <w:t>综合评分</w:t>
      </w:r>
      <w:r>
        <w:rPr>
          <w:color w:val="000000" w:themeColor="text1"/>
          <w:sz w:val="24"/>
          <w:szCs w:val="24"/>
        </w:rPr>
        <w:t xml:space="preserve"> 法。</w:t>
      </w:r>
      <w:r>
        <w:rPr>
          <w:color w:val="000000" w:themeColor="text1"/>
          <w:kern w:val="0"/>
          <w:sz w:val="24"/>
          <w:szCs w:val="24"/>
        </w:rPr>
        <w:t>评标结果按评审后得分由高到低顺序排列。得分相同的，按投标报价由低到高顺序排列。得分且投标报价相同的，由评标委员会组织通过抽签的方式确定中标候选人的排序。投标文件满足招标文件全部实质性要求，且按照评审因素的量化指标评审得分最高的投标人</w:t>
      </w:r>
      <w:r>
        <w:rPr>
          <w:rFonts w:hint="eastAsia" w:cs="宋体"/>
          <w:bCs/>
          <w:kern w:val="0"/>
          <w:sz w:val="24"/>
          <w:szCs w:val="24"/>
        </w:rPr>
        <w:t>为排名第一的中标候选人，本项目选取1名中标候选人。</w:t>
      </w:r>
    </w:p>
    <w:p>
      <w:pPr>
        <w:spacing w:line="440" w:lineRule="exact"/>
        <w:ind w:firstLine="480" w:firstLineChars="200"/>
        <w:rPr>
          <w:color w:val="000000" w:themeColor="text1"/>
          <w:sz w:val="24"/>
          <w:szCs w:val="24"/>
        </w:rPr>
      </w:pPr>
      <w:r>
        <w:rPr>
          <w:color w:val="000000" w:themeColor="text1"/>
          <w:sz w:val="24"/>
          <w:szCs w:val="24"/>
        </w:rPr>
        <w:t>政府采购政策功能落实</w:t>
      </w:r>
    </w:p>
    <w:p>
      <w:pPr>
        <w:spacing w:line="440" w:lineRule="exact"/>
        <w:ind w:firstLine="480" w:firstLineChars="200"/>
        <w:rPr>
          <w:color w:val="000000" w:themeColor="text1"/>
          <w:sz w:val="24"/>
          <w:szCs w:val="24"/>
        </w:rPr>
      </w:pPr>
      <w:r>
        <w:rPr>
          <w:color w:val="000000" w:themeColor="text1"/>
          <w:sz w:val="24"/>
          <w:szCs w:val="24"/>
        </w:rPr>
        <w:t>1</w:t>
      </w:r>
      <w:r>
        <w:rPr>
          <w:rFonts w:hint="eastAsia"/>
          <w:color w:val="000000" w:themeColor="text1"/>
          <w:sz w:val="24"/>
          <w:szCs w:val="24"/>
        </w:rPr>
        <w:t>.</w:t>
      </w:r>
      <w:r>
        <w:rPr>
          <w:color w:val="000000" w:themeColor="text1"/>
          <w:sz w:val="24"/>
          <w:szCs w:val="24"/>
        </w:rPr>
        <w:t>小微型企业价格扣除</w:t>
      </w:r>
    </w:p>
    <w:p>
      <w:pPr>
        <w:spacing w:line="440" w:lineRule="exact"/>
        <w:ind w:firstLine="480" w:firstLineChars="200"/>
        <w:rPr>
          <w:color w:val="000000" w:themeColor="text1"/>
          <w:sz w:val="24"/>
          <w:szCs w:val="24"/>
        </w:rPr>
      </w:pPr>
      <w:r>
        <w:rPr>
          <w:color w:val="000000" w:themeColor="text1"/>
          <w:sz w:val="24"/>
          <w:szCs w:val="24"/>
        </w:rPr>
        <w:t>（1）本项目对小型和微型企业产品给予</w:t>
      </w:r>
      <w:r>
        <w:rPr>
          <w:rFonts w:hint="eastAsia"/>
          <w:color w:val="000000" w:themeColor="text1"/>
          <w:sz w:val="24"/>
          <w:szCs w:val="24"/>
        </w:rPr>
        <w:t>2</w:t>
      </w:r>
      <w:r>
        <w:rPr>
          <w:color w:val="000000" w:themeColor="text1"/>
          <w:sz w:val="24"/>
          <w:szCs w:val="24"/>
        </w:rPr>
        <w:t>0%的扣除价格，用扣除后的价格参与评审。</w:t>
      </w:r>
    </w:p>
    <w:p>
      <w:pPr>
        <w:spacing w:line="440" w:lineRule="exact"/>
        <w:ind w:firstLine="480" w:firstLineChars="200"/>
        <w:rPr>
          <w:color w:val="000000" w:themeColor="text1"/>
          <w:sz w:val="24"/>
          <w:szCs w:val="24"/>
        </w:rPr>
      </w:pPr>
      <w:r>
        <w:rPr>
          <w:color w:val="000000" w:themeColor="text1"/>
          <w:sz w:val="24"/>
          <w:szCs w:val="24"/>
        </w:rPr>
        <w:t>（2）供应商需按照招标文件的要求提供相应的《企业声明函》。</w:t>
      </w:r>
    </w:p>
    <w:p>
      <w:pPr>
        <w:spacing w:line="440" w:lineRule="exact"/>
        <w:ind w:firstLine="480" w:firstLineChars="200"/>
        <w:rPr>
          <w:color w:val="000000" w:themeColor="text1"/>
          <w:sz w:val="24"/>
          <w:szCs w:val="24"/>
        </w:rPr>
      </w:pPr>
      <w:r>
        <w:rPr>
          <w:color w:val="000000" w:themeColor="text1"/>
          <w:sz w:val="24"/>
          <w:szCs w:val="24"/>
        </w:rPr>
        <w:t>（3）企业标准请参照《关于印发中小企业划型标准规定的通知》（工信部联企业〔201</w:t>
      </w:r>
      <w:r>
        <w:rPr>
          <w:rFonts w:hint="eastAsia"/>
          <w:color w:val="000000" w:themeColor="text1"/>
          <w:sz w:val="24"/>
          <w:szCs w:val="24"/>
        </w:rPr>
        <w:t>1</w:t>
      </w:r>
      <w:r>
        <w:rPr>
          <w:color w:val="000000" w:themeColor="text1"/>
          <w:sz w:val="24"/>
          <w:szCs w:val="24"/>
        </w:rPr>
        <w:t>〕300号）文件规定自行填写。</w:t>
      </w:r>
    </w:p>
    <w:p>
      <w:pPr>
        <w:spacing w:line="440" w:lineRule="exact"/>
        <w:ind w:firstLine="482" w:firstLineChars="200"/>
        <w:rPr>
          <w:b/>
          <w:bCs/>
          <w:color w:val="000000" w:themeColor="text1"/>
          <w:sz w:val="24"/>
          <w:szCs w:val="24"/>
        </w:rPr>
      </w:pPr>
      <w:r>
        <w:rPr>
          <w:b/>
          <w:bCs/>
          <w:color w:val="000000" w:themeColor="text1"/>
          <w:sz w:val="24"/>
          <w:szCs w:val="24"/>
        </w:rPr>
        <w:t>（4）在货物采购项目中，供应商提供的货物既有中小企业制造货物，也有大型企业制造货物的，不享受本办法规定的中小企业扶持政策。</w:t>
      </w:r>
    </w:p>
    <w:p>
      <w:pPr>
        <w:spacing w:line="440" w:lineRule="exact"/>
        <w:ind w:firstLine="480" w:firstLineChars="200"/>
        <w:rPr>
          <w:color w:val="000000" w:themeColor="text1"/>
          <w:sz w:val="24"/>
          <w:szCs w:val="24"/>
        </w:rPr>
      </w:pPr>
      <w:r>
        <w:rPr>
          <w:color w:val="000000" w:themeColor="text1"/>
          <w:sz w:val="24"/>
          <w:szCs w:val="24"/>
        </w:rPr>
        <w:t>2</w:t>
      </w:r>
      <w:r>
        <w:rPr>
          <w:rFonts w:hint="eastAsia"/>
          <w:color w:val="000000" w:themeColor="text1"/>
          <w:sz w:val="24"/>
          <w:szCs w:val="24"/>
        </w:rPr>
        <w:t>.</w:t>
      </w:r>
      <w:r>
        <w:rPr>
          <w:color w:val="000000" w:themeColor="text1"/>
          <w:sz w:val="24"/>
          <w:szCs w:val="24"/>
        </w:rPr>
        <w:t>残疾人福利单位价格扣除</w:t>
      </w:r>
    </w:p>
    <w:p>
      <w:pPr>
        <w:spacing w:line="440" w:lineRule="exact"/>
        <w:ind w:firstLine="480" w:firstLineChars="200"/>
        <w:rPr>
          <w:color w:val="000000" w:themeColor="text1"/>
          <w:sz w:val="24"/>
          <w:szCs w:val="24"/>
        </w:rPr>
      </w:pPr>
      <w:r>
        <w:rPr>
          <w:color w:val="000000" w:themeColor="text1"/>
          <w:sz w:val="24"/>
          <w:szCs w:val="24"/>
        </w:rPr>
        <w:t>（1）本项目对残疾人福利性单位视同小型、微型企业，给予</w:t>
      </w:r>
      <w:r>
        <w:rPr>
          <w:rFonts w:hint="eastAsia"/>
          <w:color w:val="000000" w:themeColor="text1"/>
          <w:sz w:val="24"/>
          <w:szCs w:val="24"/>
        </w:rPr>
        <w:t>2</w:t>
      </w:r>
      <w:r>
        <w:rPr>
          <w:color w:val="000000" w:themeColor="text1"/>
          <w:sz w:val="24"/>
          <w:szCs w:val="24"/>
        </w:rPr>
        <w:t>0%的价格扣除，用扣除后的价格参与评审。</w:t>
      </w:r>
    </w:p>
    <w:p>
      <w:pPr>
        <w:spacing w:line="440" w:lineRule="exact"/>
        <w:ind w:firstLine="480" w:firstLineChars="200"/>
        <w:rPr>
          <w:color w:val="000000" w:themeColor="text1"/>
          <w:sz w:val="24"/>
          <w:szCs w:val="24"/>
        </w:rPr>
      </w:pPr>
      <w:r>
        <w:rPr>
          <w:color w:val="000000" w:themeColor="text1"/>
          <w:sz w:val="24"/>
          <w:szCs w:val="24"/>
        </w:rPr>
        <w:t>（2）残疾人福利单位需按照招标文件的要求提供《残疾人福利性单位声明函》。</w:t>
      </w:r>
    </w:p>
    <w:p>
      <w:pPr>
        <w:spacing w:line="440" w:lineRule="exact"/>
        <w:ind w:firstLine="480" w:firstLineChars="200"/>
        <w:rPr>
          <w:color w:val="000000" w:themeColor="text1"/>
          <w:sz w:val="24"/>
          <w:szCs w:val="24"/>
        </w:rPr>
      </w:pPr>
      <w:r>
        <w:rPr>
          <w:color w:val="000000" w:themeColor="text1"/>
          <w:sz w:val="24"/>
          <w:szCs w:val="24"/>
        </w:rPr>
        <w:t>（3）残疾人福利单位标准请参照《关于促进残疾人就业政府采购政策的通知》（财库〔2017〕141号）。</w:t>
      </w:r>
    </w:p>
    <w:p>
      <w:pPr>
        <w:spacing w:line="440" w:lineRule="exact"/>
        <w:ind w:firstLine="480" w:firstLineChars="200"/>
        <w:rPr>
          <w:color w:val="000000" w:themeColor="text1"/>
          <w:sz w:val="24"/>
          <w:szCs w:val="24"/>
        </w:rPr>
      </w:pPr>
      <w:r>
        <w:rPr>
          <w:color w:val="000000" w:themeColor="text1"/>
          <w:sz w:val="24"/>
          <w:szCs w:val="24"/>
        </w:rPr>
        <w:t>3</w:t>
      </w:r>
      <w:r>
        <w:rPr>
          <w:rFonts w:hint="eastAsia"/>
          <w:color w:val="000000" w:themeColor="text1"/>
          <w:sz w:val="24"/>
          <w:szCs w:val="24"/>
        </w:rPr>
        <w:t>.</w:t>
      </w:r>
      <w:r>
        <w:rPr>
          <w:color w:val="000000" w:themeColor="text1"/>
          <w:sz w:val="24"/>
          <w:szCs w:val="24"/>
        </w:rPr>
        <w:t>监狱和戒毒企业价格扣除</w:t>
      </w:r>
    </w:p>
    <w:p>
      <w:pPr>
        <w:spacing w:line="440" w:lineRule="exact"/>
        <w:ind w:firstLine="480" w:firstLineChars="200"/>
        <w:rPr>
          <w:color w:val="000000" w:themeColor="text1"/>
          <w:sz w:val="24"/>
          <w:szCs w:val="24"/>
        </w:rPr>
      </w:pPr>
      <w:r>
        <w:rPr>
          <w:color w:val="000000" w:themeColor="text1"/>
          <w:sz w:val="24"/>
          <w:szCs w:val="24"/>
        </w:rPr>
        <w:t>（1）本项目对监狱和戒毒企业（简称监狱企业）视同小型、微型企业，给予</w:t>
      </w:r>
      <w:r>
        <w:rPr>
          <w:rFonts w:hint="eastAsia"/>
          <w:color w:val="000000" w:themeColor="text1"/>
          <w:sz w:val="24"/>
          <w:szCs w:val="24"/>
        </w:rPr>
        <w:t>2</w:t>
      </w:r>
      <w:r>
        <w:rPr>
          <w:color w:val="000000" w:themeColor="text1"/>
          <w:sz w:val="24"/>
          <w:szCs w:val="24"/>
        </w:rPr>
        <w:t>0%的价格扣除，用扣除后的价格参与评审。</w:t>
      </w:r>
    </w:p>
    <w:p>
      <w:pPr>
        <w:spacing w:line="440" w:lineRule="exact"/>
        <w:ind w:firstLine="480" w:firstLineChars="200"/>
        <w:rPr>
          <w:color w:val="000000" w:themeColor="text1"/>
          <w:sz w:val="24"/>
          <w:szCs w:val="24"/>
        </w:rPr>
      </w:pPr>
      <w:r>
        <w:rPr>
          <w:color w:val="000000" w:themeColor="text1"/>
          <w:sz w:val="24"/>
          <w:szCs w:val="24"/>
        </w:rPr>
        <w:t>（2）监狱企业参加政府采购活动时，需提供由省级以上监狱管理局、戒毒管理局(含新疆生产建设兵团)出具的属于监狱企业的证明文件。供应商如不提供上述证明文件，价格将不做相应扣除。</w:t>
      </w:r>
    </w:p>
    <w:p>
      <w:pPr>
        <w:spacing w:line="440" w:lineRule="exact"/>
        <w:ind w:firstLine="480" w:firstLineChars="200"/>
        <w:rPr>
          <w:color w:val="000000" w:themeColor="text1"/>
          <w:sz w:val="24"/>
          <w:szCs w:val="24"/>
        </w:rPr>
      </w:pPr>
      <w:r>
        <w:rPr>
          <w:color w:val="000000" w:themeColor="text1"/>
          <w:sz w:val="24"/>
          <w:szCs w:val="24"/>
        </w:rPr>
        <w:t>（3）监狱企业标准请参照《关于政府采购支持监狱企业发展有关问题的通知》（财库〔201</w:t>
      </w:r>
      <w:r>
        <w:rPr>
          <w:rFonts w:hint="eastAsia"/>
          <w:color w:val="000000" w:themeColor="text1"/>
          <w:sz w:val="24"/>
          <w:szCs w:val="24"/>
        </w:rPr>
        <w:t>4</w:t>
      </w:r>
      <w:r>
        <w:rPr>
          <w:color w:val="000000" w:themeColor="text1"/>
          <w:sz w:val="24"/>
          <w:szCs w:val="24"/>
        </w:rPr>
        <w:t>〕68号）。</w:t>
      </w:r>
    </w:p>
    <w:p>
      <w:pPr>
        <w:spacing w:line="440" w:lineRule="exact"/>
        <w:ind w:firstLine="480" w:firstLineChars="200"/>
        <w:rPr>
          <w:color w:val="000000" w:themeColor="text1"/>
          <w:sz w:val="24"/>
          <w:szCs w:val="24"/>
        </w:rPr>
      </w:pPr>
      <w:r>
        <w:rPr>
          <w:color w:val="000000" w:themeColor="text1"/>
          <w:sz w:val="24"/>
          <w:szCs w:val="24"/>
        </w:rPr>
        <w:t>4</w:t>
      </w:r>
      <w:r>
        <w:rPr>
          <w:rFonts w:hint="eastAsia"/>
          <w:color w:val="000000" w:themeColor="text1"/>
          <w:sz w:val="24"/>
          <w:szCs w:val="24"/>
        </w:rPr>
        <w:t>.</w:t>
      </w:r>
      <w:r>
        <w:rPr>
          <w:color w:val="000000" w:themeColor="text1"/>
          <w:sz w:val="24"/>
          <w:szCs w:val="24"/>
        </w:rPr>
        <w:t>残疾人福利单位、监狱企业属于小型、微型企业的，不重复享受政策。</w:t>
      </w:r>
    </w:p>
    <w:p>
      <w:pPr>
        <w:spacing w:line="440" w:lineRule="exact"/>
        <w:ind w:firstLine="482" w:firstLineChars="200"/>
        <w:rPr>
          <w:rFonts w:eastAsiaTheme="minorEastAsia"/>
          <w:b/>
          <w:color w:val="000000" w:themeColor="text1"/>
          <w:sz w:val="24"/>
          <w:szCs w:val="24"/>
        </w:rPr>
      </w:pPr>
      <w:r>
        <w:rPr>
          <w:rFonts w:eastAsiaTheme="minorEastAsia"/>
          <w:b/>
          <w:color w:val="000000" w:themeColor="text1"/>
          <w:sz w:val="24"/>
          <w:szCs w:val="24"/>
        </w:rPr>
        <w:t>二、评标标准</w:t>
      </w:r>
    </w:p>
    <w:p>
      <w:pPr>
        <w:spacing w:line="440" w:lineRule="exact"/>
        <w:ind w:firstLine="480" w:firstLineChars="200"/>
        <w:rPr>
          <w:rFonts w:eastAsiaTheme="minorEastAsia"/>
          <w:b w:val="0"/>
          <w:bCs/>
          <w:color w:val="000000" w:themeColor="text1"/>
          <w:kern w:val="0"/>
          <w:sz w:val="24"/>
          <w:szCs w:val="24"/>
        </w:rPr>
      </w:pPr>
      <w:r>
        <w:rPr>
          <w:rFonts w:eastAsiaTheme="minorEastAsia"/>
          <w:b w:val="0"/>
          <w:bCs/>
          <w:color w:val="000000" w:themeColor="text1"/>
          <w:kern w:val="0"/>
          <w:sz w:val="24"/>
          <w:szCs w:val="24"/>
        </w:rPr>
        <w:t>本项目评分总分值为100分。</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2"/>
        <w:gridCol w:w="1526"/>
        <w:gridCol w:w="5823"/>
        <w:gridCol w:w="9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682" w:type="dxa"/>
            <w:vAlign w:val="center"/>
          </w:tcPr>
          <w:p>
            <w:pPr>
              <w:spacing w:line="320" w:lineRule="exact"/>
              <w:jc w:val="center"/>
              <w:rPr>
                <w:b/>
                <w:bCs/>
                <w:color w:val="000000" w:themeColor="text1"/>
                <w:kern w:val="0"/>
              </w:rPr>
            </w:pPr>
            <w:r>
              <w:rPr>
                <w:b/>
                <w:bCs/>
                <w:color w:val="000000" w:themeColor="text1"/>
                <w:kern w:val="0"/>
              </w:rPr>
              <w:t>序号</w:t>
            </w:r>
          </w:p>
        </w:tc>
        <w:tc>
          <w:tcPr>
            <w:tcW w:w="1526" w:type="dxa"/>
            <w:vAlign w:val="center"/>
          </w:tcPr>
          <w:p>
            <w:pPr>
              <w:spacing w:line="320" w:lineRule="exact"/>
              <w:jc w:val="center"/>
              <w:rPr>
                <w:b/>
                <w:bCs/>
                <w:color w:val="000000" w:themeColor="text1"/>
                <w:kern w:val="0"/>
              </w:rPr>
            </w:pPr>
            <w:r>
              <w:rPr>
                <w:b/>
                <w:bCs/>
                <w:color w:val="000000" w:themeColor="text1"/>
                <w:kern w:val="0"/>
              </w:rPr>
              <w:t>评审因素</w:t>
            </w:r>
          </w:p>
        </w:tc>
        <w:tc>
          <w:tcPr>
            <w:tcW w:w="5823" w:type="dxa"/>
            <w:vAlign w:val="center"/>
          </w:tcPr>
          <w:p>
            <w:pPr>
              <w:spacing w:line="320" w:lineRule="exact"/>
              <w:jc w:val="center"/>
              <w:rPr>
                <w:b/>
                <w:bCs/>
                <w:color w:val="000000" w:themeColor="text1"/>
                <w:kern w:val="0"/>
              </w:rPr>
            </w:pPr>
            <w:r>
              <w:rPr>
                <w:b/>
                <w:bCs/>
                <w:color w:val="000000" w:themeColor="text1"/>
                <w:kern w:val="0"/>
              </w:rPr>
              <w:t>评审细则</w:t>
            </w:r>
          </w:p>
        </w:tc>
        <w:tc>
          <w:tcPr>
            <w:tcW w:w="915" w:type="dxa"/>
            <w:vAlign w:val="center"/>
          </w:tcPr>
          <w:p>
            <w:pPr>
              <w:spacing w:line="320" w:lineRule="exact"/>
              <w:jc w:val="center"/>
              <w:rPr>
                <w:b/>
                <w:bCs/>
                <w:color w:val="000000" w:themeColor="text1"/>
                <w:kern w:val="0"/>
              </w:rPr>
            </w:pPr>
            <w:r>
              <w:rPr>
                <w:b/>
                <w:bCs/>
                <w:color w:val="000000" w:themeColor="text1"/>
                <w:kern w:val="0"/>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2" w:type="dxa"/>
            <w:vAlign w:val="center"/>
          </w:tcPr>
          <w:p>
            <w:pPr>
              <w:spacing w:line="320" w:lineRule="exact"/>
              <w:jc w:val="center"/>
              <w:rPr>
                <w:color w:val="000000" w:themeColor="text1"/>
                <w:kern w:val="0"/>
              </w:rPr>
            </w:pPr>
            <w:r>
              <w:rPr>
                <w:color w:val="000000" w:themeColor="text1"/>
                <w:kern w:val="0"/>
              </w:rPr>
              <w:t>1</w:t>
            </w:r>
          </w:p>
        </w:tc>
        <w:tc>
          <w:tcPr>
            <w:tcW w:w="1526" w:type="dxa"/>
            <w:vAlign w:val="center"/>
          </w:tcPr>
          <w:p>
            <w:pPr>
              <w:spacing w:line="320" w:lineRule="exact"/>
              <w:jc w:val="center"/>
              <w:rPr>
                <w:color w:val="000000" w:themeColor="text1"/>
                <w:kern w:val="0"/>
              </w:rPr>
            </w:pPr>
            <w:r>
              <w:rPr>
                <w:color w:val="000000" w:themeColor="text1"/>
                <w:kern w:val="0"/>
              </w:rPr>
              <w:t>投标报价</w:t>
            </w:r>
          </w:p>
        </w:tc>
        <w:tc>
          <w:tcPr>
            <w:tcW w:w="5823" w:type="dxa"/>
            <w:vAlign w:val="center"/>
          </w:tcPr>
          <w:p>
            <w:pPr>
              <w:pStyle w:val="43"/>
              <w:snapToGrid w:val="0"/>
              <w:spacing w:before="0" w:after="0" w:line="240" w:lineRule="auto"/>
              <w:ind w:firstLine="420" w:firstLineChars="200"/>
              <w:jc w:val="both"/>
              <w:rPr>
                <w:rFonts w:ascii="Times New Roman" w:hAnsi="Times New Roman" w:cs="宋体"/>
                <w:kern w:val="2"/>
                <w:sz w:val="21"/>
                <w:szCs w:val="21"/>
              </w:rPr>
            </w:pPr>
            <w:r>
              <w:rPr>
                <w:rFonts w:hint="eastAsia" w:ascii="Times New Roman" w:hAnsi="Times New Roman" w:cs="宋体"/>
                <w:kern w:val="2"/>
                <w:sz w:val="21"/>
                <w:szCs w:val="21"/>
              </w:rPr>
              <w:t>满足采购文件要求且最低的投标报价为评标基准价，其价格分为满分。其他供应商的价格分统一按照下列公式计算：</w:t>
            </w:r>
          </w:p>
          <w:p>
            <w:pPr>
              <w:pStyle w:val="43"/>
              <w:snapToGrid w:val="0"/>
              <w:spacing w:before="0" w:after="0" w:line="240" w:lineRule="auto"/>
              <w:ind w:firstLine="420" w:firstLineChars="200"/>
              <w:jc w:val="both"/>
              <w:rPr>
                <w:rFonts w:ascii="Times New Roman" w:hAnsi="Times New Roman" w:cs="宋体"/>
                <w:kern w:val="2"/>
                <w:sz w:val="21"/>
                <w:szCs w:val="21"/>
              </w:rPr>
            </w:pPr>
            <w:r>
              <w:rPr>
                <w:rFonts w:hint="eastAsia" w:ascii="Times New Roman" w:hAnsi="Times New Roman" w:cs="宋体"/>
                <w:kern w:val="2"/>
                <w:sz w:val="21"/>
                <w:szCs w:val="21"/>
              </w:rPr>
              <w:t>投标报价得分=（评标基准价／投标报价）×6</w:t>
            </w:r>
            <w:r>
              <w:rPr>
                <w:rFonts w:ascii="Times New Roman" w:hAnsi="Times New Roman" w:cs="宋体"/>
                <w:kern w:val="2"/>
                <w:sz w:val="21"/>
                <w:szCs w:val="21"/>
              </w:rPr>
              <w:t>0</w:t>
            </w:r>
            <w:r>
              <w:rPr>
                <w:rFonts w:hint="eastAsia" w:ascii="Times New Roman" w:hAnsi="Times New Roman" w:cs="宋体"/>
                <w:kern w:val="2"/>
                <w:sz w:val="21"/>
                <w:szCs w:val="21"/>
              </w:rPr>
              <w:t>（四舍五入后保留小数点后两位）。</w:t>
            </w:r>
          </w:p>
          <w:p>
            <w:pPr>
              <w:pStyle w:val="43"/>
              <w:snapToGrid w:val="0"/>
              <w:spacing w:before="0" w:after="0" w:line="240" w:lineRule="auto"/>
              <w:ind w:firstLine="420" w:firstLineChars="200"/>
              <w:jc w:val="both"/>
              <w:rPr>
                <w:rFonts w:ascii="Times New Roman" w:hAnsi="Times New Roman" w:cs="宋体"/>
                <w:color w:val="FF0000"/>
                <w:kern w:val="2"/>
                <w:sz w:val="21"/>
                <w:szCs w:val="21"/>
              </w:rPr>
            </w:pPr>
            <w:r>
              <w:rPr>
                <w:rFonts w:ascii="Times New Roman" w:hAnsi="Times New Roman" w:cs="宋体"/>
                <w:color w:val="FF0000"/>
                <w:kern w:val="2"/>
                <w:sz w:val="21"/>
                <w:szCs w:val="21"/>
              </w:rPr>
              <w:t>本项目投标报价是</w:t>
            </w:r>
            <w:r>
              <w:rPr>
                <w:rFonts w:hint="eastAsia" w:ascii="Times New Roman" w:hAnsi="Times New Roman" w:cs="宋体"/>
                <w:color w:val="FF0000"/>
                <w:kern w:val="2"/>
                <w:sz w:val="21"/>
                <w:szCs w:val="21"/>
              </w:rPr>
              <w:t>指实洋/码洋的值。</w:t>
            </w:r>
          </w:p>
          <w:p>
            <w:pPr>
              <w:pStyle w:val="47"/>
              <w:spacing w:line="320" w:lineRule="exact"/>
              <w:ind w:firstLine="420" w:firstLineChars="200"/>
              <w:rPr>
                <w:rFonts w:ascii="Times New Roman" w:hAnsi="Times New Roman"/>
                <w:lang w:val="en-US" w:bidi="ar-SA"/>
              </w:rPr>
            </w:pPr>
            <w:r>
              <w:rPr>
                <w:rFonts w:hint="eastAsia" w:ascii="Times New Roman" w:hAnsi="Times New Roman"/>
                <w:lang w:val="en-US" w:bidi="ar-SA"/>
              </w:rPr>
              <w:t>因落实政府采购政策需进行价格扣除的，以扣除后的价格计算评标基准价和投标报价。</w:t>
            </w:r>
          </w:p>
        </w:tc>
        <w:tc>
          <w:tcPr>
            <w:tcW w:w="915" w:type="dxa"/>
            <w:vAlign w:val="center"/>
          </w:tcPr>
          <w:p>
            <w:pPr>
              <w:spacing w:line="320" w:lineRule="exact"/>
              <w:jc w:val="center"/>
              <w:rPr>
                <w:color w:val="000000" w:themeColor="text1"/>
                <w:kern w:val="0"/>
              </w:rPr>
            </w:pPr>
            <w:r>
              <w:rPr>
                <w:rFonts w:hint="eastAsia"/>
                <w:color w:val="000000" w:themeColor="text1"/>
                <w:kern w:val="0"/>
              </w:rPr>
              <w:t>60</w:t>
            </w:r>
            <w:r>
              <w:rPr>
                <w:color w:val="000000" w:themeColor="text1"/>
                <w:kern w:val="0"/>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2" w:type="dxa"/>
            <w:vAlign w:val="center"/>
          </w:tcPr>
          <w:p>
            <w:pPr>
              <w:spacing w:line="320" w:lineRule="exact"/>
              <w:jc w:val="center"/>
              <w:rPr>
                <w:color w:val="000000" w:themeColor="text1"/>
                <w:kern w:val="0"/>
              </w:rPr>
            </w:pPr>
            <w:r>
              <w:rPr>
                <w:color w:val="000000" w:themeColor="text1"/>
                <w:kern w:val="0"/>
              </w:rPr>
              <w:t>2</w:t>
            </w:r>
          </w:p>
        </w:tc>
        <w:tc>
          <w:tcPr>
            <w:tcW w:w="1526" w:type="dxa"/>
            <w:vAlign w:val="center"/>
          </w:tcPr>
          <w:p>
            <w:pPr>
              <w:spacing w:line="320" w:lineRule="exact"/>
              <w:jc w:val="center"/>
              <w:rPr>
                <w:color w:val="000000" w:themeColor="text1"/>
                <w:kern w:val="0"/>
              </w:rPr>
            </w:pPr>
            <w:r>
              <w:rPr>
                <w:color w:val="000000" w:themeColor="text1"/>
                <w:kern w:val="0"/>
              </w:rPr>
              <w:t>企业综合</w:t>
            </w:r>
          </w:p>
          <w:p>
            <w:pPr>
              <w:spacing w:line="320" w:lineRule="exact"/>
              <w:jc w:val="center"/>
              <w:rPr>
                <w:color w:val="000000" w:themeColor="text1"/>
                <w:kern w:val="0"/>
              </w:rPr>
            </w:pPr>
            <w:r>
              <w:rPr>
                <w:color w:val="000000" w:themeColor="text1"/>
                <w:kern w:val="0"/>
              </w:rPr>
              <w:t>实力</w:t>
            </w:r>
          </w:p>
        </w:tc>
        <w:tc>
          <w:tcPr>
            <w:tcW w:w="5823" w:type="dxa"/>
            <w:vAlign w:val="center"/>
          </w:tcPr>
          <w:p>
            <w:pPr>
              <w:spacing w:line="300" w:lineRule="exact"/>
              <w:ind w:firstLine="420" w:firstLineChars="200"/>
              <w:rPr>
                <w:rFonts w:eastAsiaTheme="majorEastAsia"/>
                <w:color w:val="auto"/>
                <w:kern w:val="0"/>
              </w:rPr>
            </w:pPr>
            <w:r>
              <w:rPr>
                <w:rFonts w:hint="eastAsia" w:eastAsiaTheme="majorEastAsia"/>
                <w:color w:val="auto"/>
                <w:kern w:val="0"/>
              </w:rPr>
              <w:t>1.投标人具有环境管理体系认证证书得2分；</w:t>
            </w:r>
          </w:p>
          <w:p>
            <w:pPr>
              <w:spacing w:line="300" w:lineRule="exact"/>
              <w:ind w:firstLine="420" w:firstLineChars="200"/>
              <w:rPr>
                <w:rFonts w:eastAsiaTheme="majorEastAsia"/>
                <w:color w:val="auto"/>
                <w:kern w:val="0"/>
              </w:rPr>
            </w:pPr>
            <w:r>
              <w:rPr>
                <w:rFonts w:hint="eastAsia" w:eastAsiaTheme="majorEastAsia"/>
                <w:color w:val="auto"/>
                <w:kern w:val="0"/>
              </w:rPr>
              <w:t>2.投标人具有质量管理体系认证证书得2分；</w:t>
            </w:r>
          </w:p>
          <w:p>
            <w:pPr>
              <w:spacing w:line="300" w:lineRule="exact"/>
              <w:ind w:firstLine="420" w:firstLineChars="200"/>
              <w:rPr>
                <w:rFonts w:eastAsiaTheme="majorEastAsia"/>
                <w:color w:val="auto"/>
                <w:kern w:val="0"/>
              </w:rPr>
            </w:pPr>
            <w:r>
              <w:rPr>
                <w:rFonts w:hint="eastAsia" w:eastAsiaTheme="majorEastAsia"/>
                <w:color w:val="auto"/>
                <w:kern w:val="0"/>
              </w:rPr>
              <w:t>3.投标人具有职业安全健康管理体系认证证书得2分；</w:t>
            </w:r>
          </w:p>
          <w:p>
            <w:pPr>
              <w:spacing w:line="300" w:lineRule="exact"/>
              <w:ind w:firstLine="420" w:firstLineChars="200"/>
              <w:rPr>
                <w:rFonts w:eastAsiaTheme="majorEastAsia"/>
                <w:color w:val="auto"/>
                <w:kern w:val="0"/>
              </w:rPr>
            </w:pPr>
            <w:r>
              <w:rPr>
                <w:rFonts w:eastAsiaTheme="majorEastAsia"/>
                <w:color w:val="auto"/>
                <w:kern w:val="0"/>
              </w:rPr>
              <w:t>注：提供加盖投标人公章的相应证书复印件，不提供不得分。</w:t>
            </w:r>
          </w:p>
        </w:tc>
        <w:tc>
          <w:tcPr>
            <w:tcW w:w="915" w:type="dxa"/>
            <w:vAlign w:val="center"/>
          </w:tcPr>
          <w:p>
            <w:pPr>
              <w:spacing w:line="320" w:lineRule="exact"/>
              <w:jc w:val="center"/>
              <w:rPr>
                <w:color w:val="auto"/>
                <w:kern w:val="0"/>
              </w:rPr>
            </w:pPr>
            <w:r>
              <w:rPr>
                <w:rFonts w:hint="eastAsia"/>
                <w:color w:val="auto"/>
                <w:kern w:val="0"/>
              </w:rPr>
              <w:t>6</w:t>
            </w:r>
            <w:r>
              <w:rPr>
                <w:color w:val="auto"/>
                <w:kern w:val="0"/>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2" w:type="dxa"/>
            <w:vAlign w:val="center"/>
          </w:tcPr>
          <w:p>
            <w:pPr>
              <w:spacing w:line="320" w:lineRule="exact"/>
              <w:jc w:val="center"/>
              <w:rPr>
                <w:color w:val="000000" w:themeColor="text1"/>
                <w:kern w:val="0"/>
              </w:rPr>
            </w:pPr>
            <w:r>
              <w:rPr>
                <w:color w:val="000000" w:themeColor="text1"/>
                <w:kern w:val="0"/>
              </w:rPr>
              <w:t>3</w:t>
            </w:r>
          </w:p>
        </w:tc>
        <w:tc>
          <w:tcPr>
            <w:tcW w:w="1526" w:type="dxa"/>
            <w:vAlign w:val="center"/>
          </w:tcPr>
          <w:p>
            <w:pPr>
              <w:spacing w:line="320" w:lineRule="exact"/>
              <w:jc w:val="center"/>
              <w:rPr>
                <w:color w:val="000000" w:themeColor="text1"/>
                <w:kern w:val="0"/>
              </w:rPr>
            </w:pPr>
            <w:r>
              <w:rPr>
                <w:color w:val="000000" w:themeColor="text1"/>
                <w:kern w:val="0"/>
              </w:rPr>
              <w:t>图书编目</w:t>
            </w:r>
          </w:p>
          <w:p>
            <w:pPr>
              <w:spacing w:line="320" w:lineRule="exact"/>
              <w:jc w:val="center"/>
              <w:rPr>
                <w:color w:val="000000" w:themeColor="text1"/>
                <w:kern w:val="0"/>
              </w:rPr>
            </w:pPr>
            <w:r>
              <w:rPr>
                <w:color w:val="000000" w:themeColor="text1"/>
                <w:kern w:val="0"/>
              </w:rPr>
              <w:t>加工能力</w:t>
            </w:r>
          </w:p>
        </w:tc>
        <w:tc>
          <w:tcPr>
            <w:tcW w:w="5823" w:type="dxa"/>
            <w:vAlign w:val="center"/>
          </w:tcPr>
          <w:p>
            <w:pPr>
              <w:spacing w:line="300" w:lineRule="exact"/>
              <w:ind w:firstLine="420" w:firstLineChars="200"/>
              <w:rPr>
                <w:rFonts w:eastAsiaTheme="majorEastAsia"/>
                <w:color w:val="auto"/>
                <w:kern w:val="0"/>
              </w:rPr>
            </w:pPr>
            <w:r>
              <w:rPr>
                <w:rFonts w:hint="eastAsia" w:eastAsiaTheme="majorEastAsia"/>
                <w:color w:val="auto"/>
                <w:kern w:val="0"/>
              </w:rPr>
              <w:t>供应商有稳定的编目加工团队，团队成员须为供应商正式员工，具有3个本单位在职员工图书编目员证书的得3分，在此基础上每增加一个本单位编目员证书的加1分，本项最多2分。（标书中需提供编目人员开标前3个月中任意1个月的社保缴纳证明及证书复印件加盖公章）注：投标时编目员证书原件备查，以上相关材料不提供或提供不全或提供无效证明材料的不得分。</w:t>
            </w:r>
          </w:p>
        </w:tc>
        <w:tc>
          <w:tcPr>
            <w:tcW w:w="915" w:type="dxa"/>
            <w:vAlign w:val="center"/>
          </w:tcPr>
          <w:p>
            <w:pPr>
              <w:spacing w:line="320" w:lineRule="exact"/>
              <w:jc w:val="center"/>
              <w:rPr>
                <w:color w:val="auto"/>
                <w:kern w:val="0"/>
              </w:rPr>
            </w:pPr>
            <w:r>
              <w:rPr>
                <w:rFonts w:hint="eastAsia"/>
                <w:color w:val="auto"/>
                <w:kern w:val="0"/>
              </w:rPr>
              <w:t>5</w:t>
            </w:r>
            <w:r>
              <w:rPr>
                <w:color w:val="auto"/>
                <w:kern w:val="0"/>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2" w:type="dxa"/>
            <w:vAlign w:val="center"/>
          </w:tcPr>
          <w:p>
            <w:pPr>
              <w:spacing w:line="320" w:lineRule="exact"/>
              <w:jc w:val="center"/>
              <w:rPr>
                <w:color w:val="000000" w:themeColor="text1"/>
                <w:kern w:val="0"/>
              </w:rPr>
            </w:pPr>
            <w:r>
              <w:rPr>
                <w:color w:val="000000" w:themeColor="text1"/>
                <w:kern w:val="0"/>
              </w:rPr>
              <w:t>4</w:t>
            </w:r>
          </w:p>
        </w:tc>
        <w:tc>
          <w:tcPr>
            <w:tcW w:w="1526" w:type="dxa"/>
            <w:vAlign w:val="center"/>
          </w:tcPr>
          <w:p>
            <w:pPr>
              <w:spacing w:line="320" w:lineRule="exact"/>
              <w:jc w:val="center"/>
              <w:rPr>
                <w:color w:val="000000" w:themeColor="text1"/>
                <w:kern w:val="0"/>
              </w:rPr>
            </w:pPr>
            <w:r>
              <w:rPr>
                <w:color w:val="000000" w:themeColor="text1"/>
                <w:kern w:val="0"/>
              </w:rPr>
              <w:t>业绩案例</w:t>
            </w:r>
          </w:p>
        </w:tc>
        <w:tc>
          <w:tcPr>
            <w:tcW w:w="5823" w:type="dxa"/>
            <w:vAlign w:val="center"/>
          </w:tcPr>
          <w:p>
            <w:pPr>
              <w:snapToGrid w:val="0"/>
              <w:spacing w:line="300" w:lineRule="exact"/>
              <w:ind w:firstLine="420" w:firstLineChars="200"/>
              <w:rPr>
                <w:rFonts w:eastAsiaTheme="majorEastAsia"/>
                <w:color w:val="auto"/>
                <w:kern w:val="0"/>
              </w:rPr>
            </w:pPr>
            <w:r>
              <w:rPr>
                <w:rFonts w:eastAsiaTheme="majorEastAsia"/>
                <w:color w:val="auto"/>
                <w:kern w:val="0"/>
              </w:rPr>
              <w:t>投标人至20</w:t>
            </w:r>
            <w:r>
              <w:rPr>
                <w:rFonts w:hint="eastAsia" w:eastAsiaTheme="majorEastAsia"/>
                <w:color w:val="auto"/>
                <w:kern w:val="0"/>
              </w:rPr>
              <w:t>18</w:t>
            </w:r>
            <w:r>
              <w:rPr>
                <w:rFonts w:eastAsiaTheme="majorEastAsia"/>
                <w:color w:val="auto"/>
                <w:kern w:val="0"/>
              </w:rPr>
              <w:t>年1月1日以来（以合同签订时间为准）</w:t>
            </w:r>
            <w:r>
              <w:rPr>
                <w:rFonts w:hint="eastAsia" w:eastAsiaTheme="majorEastAsia"/>
                <w:color w:val="auto"/>
                <w:kern w:val="0"/>
              </w:rPr>
              <w:t>与国内市级</w:t>
            </w:r>
            <w:r>
              <w:rPr>
                <w:rFonts w:hint="eastAsia" w:eastAsiaTheme="majorEastAsia"/>
                <w:color w:val="auto"/>
                <w:kern w:val="0"/>
                <w:lang w:eastAsia="zh-CN"/>
              </w:rPr>
              <w:t>及</w:t>
            </w:r>
            <w:r>
              <w:rPr>
                <w:rFonts w:hint="eastAsia" w:eastAsiaTheme="majorEastAsia"/>
                <w:color w:val="auto"/>
                <w:kern w:val="0"/>
              </w:rPr>
              <w:t>以上的公共馆</w:t>
            </w:r>
            <w:r>
              <w:rPr>
                <w:rFonts w:hint="eastAsia" w:eastAsiaTheme="majorEastAsia"/>
                <w:color w:val="auto"/>
                <w:kern w:val="0"/>
                <w:lang w:eastAsia="zh-CN"/>
              </w:rPr>
              <w:t>、高等</w:t>
            </w:r>
            <w:r>
              <w:rPr>
                <w:rFonts w:hint="eastAsia" w:eastAsiaTheme="majorEastAsia"/>
                <w:color w:val="auto"/>
                <w:kern w:val="0"/>
              </w:rPr>
              <w:t>学校图书馆签订的</w:t>
            </w:r>
            <w:r>
              <w:rPr>
                <w:rFonts w:eastAsiaTheme="majorEastAsia"/>
                <w:color w:val="auto"/>
                <w:kern w:val="0"/>
              </w:rPr>
              <w:t>图书项目业绩案例，每提供一例得</w:t>
            </w:r>
            <w:r>
              <w:rPr>
                <w:rFonts w:hint="eastAsia" w:eastAsiaTheme="majorEastAsia"/>
                <w:color w:val="auto"/>
                <w:kern w:val="0"/>
              </w:rPr>
              <w:t>2</w:t>
            </w:r>
            <w:r>
              <w:rPr>
                <w:rFonts w:eastAsiaTheme="majorEastAsia"/>
                <w:color w:val="auto"/>
                <w:kern w:val="0"/>
              </w:rPr>
              <w:t>分，本项最多可得</w:t>
            </w:r>
            <w:r>
              <w:rPr>
                <w:rFonts w:hint="eastAsia" w:eastAsiaTheme="majorEastAsia"/>
                <w:color w:val="auto"/>
                <w:kern w:val="0"/>
              </w:rPr>
              <w:t>6</w:t>
            </w:r>
            <w:r>
              <w:rPr>
                <w:rFonts w:eastAsiaTheme="majorEastAsia"/>
                <w:color w:val="auto"/>
                <w:kern w:val="0"/>
              </w:rPr>
              <w:t>分。注</w:t>
            </w:r>
            <w:r>
              <w:rPr>
                <w:rFonts w:hint="eastAsia" w:eastAsiaTheme="majorEastAsia"/>
                <w:color w:val="auto"/>
                <w:kern w:val="0"/>
              </w:rPr>
              <w:t>：</w:t>
            </w:r>
            <w:r>
              <w:rPr>
                <w:rFonts w:eastAsiaTheme="majorEastAsia"/>
                <w:color w:val="auto"/>
                <w:kern w:val="0"/>
              </w:rPr>
              <w:t>投标时提供合同原件，评审时核查。</w:t>
            </w:r>
          </w:p>
        </w:tc>
        <w:tc>
          <w:tcPr>
            <w:tcW w:w="915" w:type="dxa"/>
            <w:vAlign w:val="center"/>
          </w:tcPr>
          <w:p>
            <w:pPr>
              <w:spacing w:line="320" w:lineRule="exact"/>
              <w:jc w:val="center"/>
              <w:rPr>
                <w:color w:val="auto"/>
                <w:kern w:val="0"/>
              </w:rPr>
            </w:pPr>
            <w:r>
              <w:rPr>
                <w:rFonts w:hint="eastAsia"/>
                <w:color w:val="auto"/>
                <w:kern w:val="0"/>
              </w:rPr>
              <w:t>6</w:t>
            </w:r>
            <w:r>
              <w:rPr>
                <w:color w:val="auto"/>
                <w:kern w:val="0"/>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2" w:type="dxa"/>
            <w:vAlign w:val="center"/>
          </w:tcPr>
          <w:p>
            <w:pPr>
              <w:spacing w:line="320" w:lineRule="exact"/>
              <w:jc w:val="center"/>
              <w:rPr>
                <w:color w:val="000000" w:themeColor="text1"/>
                <w:kern w:val="0"/>
              </w:rPr>
            </w:pPr>
            <w:r>
              <w:rPr>
                <w:color w:val="000000" w:themeColor="text1"/>
                <w:kern w:val="0"/>
              </w:rPr>
              <w:t>5</w:t>
            </w:r>
          </w:p>
        </w:tc>
        <w:tc>
          <w:tcPr>
            <w:tcW w:w="1526" w:type="dxa"/>
            <w:vAlign w:val="center"/>
          </w:tcPr>
          <w:p>
            <w:pPr>
              <w:spacing w:line="320" w:lineRule="exact"/>
              <w:jc w:val="center"/>
              <w:rPr>
                <w:color w:val="000000" w:themeColor="text1"/>
                <w:kern w:val="0"/>
              </w:rPr>
            </w:pPr>
            <w:r>
              <w:rPr>
                <w:color w:val="000000" w:themeColor="text1"/>
                <w:kern w:val="0"/>
              </w:rPr>
              <w:t>正版图书供货组织能力</w:t>
            </w:r>
          </w:p>
        </w:tc>
        <w:tc>
          <w:tcPr>
            <w:tcW w:w="5823" w:type="dxa"/>
            <w:vAlign w:val="center"/>
          </w:tcPr>
          <w:p>
            <w:pPr>
              <w:spacing w:line="320" w:lineRule="exact"/>
              <w:ind w:firstLine="420" w:firstLineChars="200"/>
              <w:rPr>
                <w:rFonts w:eastAsiaTheme="majorEastAsia"/>
                <w:color w:val="auto"/>
                <w:kern w:val="0"/>
              </w:rPr>
            </w:pPr>
            <w:r>
              <w:rPr>
                <w:rFonts w:eastAsiaTheme="majorEastAsia"/>
                <w:color w:val="auto"/>
                <w:kern w:val="0"/>
              </w:rPr>
              <w:t>投标人</w:t>
            </w:r>
            <w:r>
              <w:rPr>
                <w:rFonts w:hint="eastAsia" w:eastAsiaTheme="majorEastAsia"/>
                <w:color w:val="auto"/>
                <w:kern w:val="0"/>
              </w:rPr>
              <w:t>每</w:t>
            </w:r>
            <w:r>
              <w:rPr>
                <w:rFonts w:eastAsiaTheme="majorEastAsia"/>
                <w:color w:val="auto"/>
                <w:kern w:val="0"/>
              </w:rPr>
              <w:t>提供</w:t>
            </w:r>
            <w:r>
              <w:rPr>
                <w:rFonts w:hint="eastAsia" w:eastAsiaTheme="majorEastAsia"/>
                <w:color w:val="auto"/>
                <w:kern w:val="0"/>
              </w:rPr>
              <w:t>1家</w:t>
            </w:r>
            <w:r>
              <w:rPr>
                <w:rFonts w:eastAsiaTheme="majorEastAsia"/>
                <w:color w:val="auto"/>
                <w:kern w:val="0"/>
              </w:rPr>
              <w:t>出版社出具的</w:t>
            </w:r>
            <w:r>
              <w:rPr>
                <w:rFonts w:hint="eastAsia" w:eastAsiaTheme="majorEastAsia"/>
                <w:color w:val="auto"/>
                <w:kern w:val="0"/>
              </w:rPr>
              <w:t>为本项目提供的专项</w:t>
            </w:r>
            <w:r>
              <w:rPr>
                <w:rFonts w:eastAsiaTheme="majorEastAsia"/>
                <w:color w:val="auto"/>
                <w:kern w:val="0"/>
              </w:rPr>
              <w:t>授权书或合作协议</w:t>
            </w:r>
            <w:r>
              <w:rPr>
                <w:rFonts w:hint="eastAsia" w:eastAsiaTheme="majorEastAsia"/>
                <w:color w:val="auto"/>
                <w:kern w:val="0"/>
              </w:rPr>
              <w:t>得1分，最多得8分。</w:t>
            </w:r>
          </w:p>
          <w:p>
            <w:pPr>
              <w:spacing w:line="320" w:lineRule="exact"/>
              <w:ind w:firstLine="420" w:firstLineChars="200"/>
              <w:rPr>
                <w:rFonts w:eastAsiaTheme="majorEastAsia"/>
                <w:color w:val="auto"/>
                <w:kern w:val="0"/>
              </w:rPr>
            </w:pPr>
            <w:r>
              <w:rPr>
                <w:rFonts w:eastAsiaTheme="majorEastAsia"/>
                <w:color w:val="auto"/>
                <w:kern w:val="0"/>
              </w:rPr>
              <w:t>注：出版社不限，出版社授权书或合作协议上附带联系人及电话以备核查。每份以一家出版社为准，重复出版社的以一家计算，投标时提供原件，评审时核查。</w:t>
            </w:r>
          </w:p>
        </w:tc>
        <w:tc>
          <w:tcPr>
            <w:tcW w:w="915" w:type="dxa"/>
            <w:vAlign w:val="center"/>
          </w:tcPr>
          <w:p>
            <w:pPr>
              <w:spacing w:line="320" w:lineRule="exact"/>
              <w:jc w:val="center"/>
              <w:rPr>
                <w:color w:val="auto"/>
                <w:kern w:val="0"/>
              </w:rPr>
            </w:pPr>
            <w:r>
              <w:rPr>
                <w:rFonts w:hint="eastAsia"/>
                <w:color w:val="auto"/>
                <w:kern w:val="0"/>
              </w:rPr>
              <w:t>8</w:t>
            </w:r>
            <w:r>
              <w:rPr>
                <w:color w:val="auto"/>
                <w:kern w:val="0"/>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2" w:type="dxa"/>
            <w:vAlign w:val="center"/>
          </w:tcPr>
          <w:p>
            <w:pPr>
              <w:spacing w:line="320" w:lineRule="exact"/>
              <w:jc w:val="center"/>
              <w:rPr>
                <w:color w:val="000000" w:themeColor="text1"/>
                <w:kern w:val="0"/>
              </w:rPr>
            </w:pPr>
            <w:r>
              <w:rPr>
                <w:rFonts w:hint="eastAsia"/>
                <w:color w:val="000000" w:themeColor="text1"/>
                <w:kern w:val="0"/>
              </w:rPr>
              <w:t>6</w:t>
            </w:r>
          </w:p>
        </w:tc>
        <w:tc>
          <w:tcPr>
            <w:tcW w:w="1526" w:type="dxa"/>
            <w:vAlign w:val="center"/>
          </w:tcPr>
          <w:p>
            <w:pPr>
              <w:spacing w:line="320" w:lineRule="exact"/>
              <w:jc w:val="center"/>
              <w:rPr>
                <w:color w:val="000000" w:themeColor="text1"/>
                <w:kern w:val="0"/>
              </w:rPr>
            </w:pPr>
            <w:r>
              <w:rPr>
                <w:color w:val="000000" w:themeColor="text1"/>
                <w:kern w:val="0"/>
              </w:rPr>
              <w:t>碳达峰，碳中和绿色产品检测</w:t>
            </w:r>
          </w:p>
        </w:tc>
        <w:tc>
          <w:tcPr>
            <w:tcW w:w="5823" w:type="dxa"/>
            <w:vAlign w:val="center"/>
          </w:tcPr>
          <w:p>
            <w:pPr>
              <w:pStyle w:val="19"/>
              <w:spacing w:beforeAutospacing="0" w:afterAutospacing="0"/>
              <w:ind w:firstLine="420" w:firstLineChars="200"/>
              <w:rPr>
                <w:rFonts w:ascii="Times New Roman" w:hAnsi="Times New Roman" w:cs="Times New Roman" w:eastAsiaTheme="majorEastAsia"/>
                <w:color w:val="auto"/>
                <w:sz w:val="21"/>
                <w:szCs w:val="21"/>
              </w:rPr>
            </w:pPr>
            <w:r>
              <w:rPr>
                <w:rFonts w:ascii="Times New Roman" w:hAnsi="Times New Roman" w:cs="Times New Roman" w:eastAsiaTheme="majorEastAsia"/>
                <w:color w:val="auto"/>
                <w:sz w:val="21"/>
                <w:szCs w:val="21"/>
              </w:rPr>
              <w:t>为保证产品的环保及安全性，所投图书需符合中华人民共和国国家环境保护标准HJ 2503-2011中表2《印刷产品有害物限量》的限值要求。投标时须</w:t>
            </w:r>
            <w:r>
              <w:rPr>
                <w:rFonts w:hint="eastAsia" w:ascii="Times New Roman" w:hAnsi="Times New Roman" w:cs="Times New Roman" w:eastAsiaTheme="majorEastAsia"/>
                <w:color w:val="auto"/>
                <w:sz w:val="21"/>
                <w:szCs w:val="21"/>
              </w:rPr>
              <w:t>（</w:t>
            </w:r>
            <w:r>
              <w:rPr>
                <w:rFonts w:ascii="Times New Roman" w:hAnsi="Times New Roman" w:cs="Times New Roman" w:eastAsiaTheme="majorEastAsia"/>
                <w:color w:val="auto"/>
                <w:sz w:val="21"/>
                <w:szCs w:val="21"/>
              </w:rPr>
              <w:t>从待选图书清单中任意选择图书</w:t>
            </w:r>
            <w:r>
              <w:rPr>
                <w:rFonts w:hint="eastAsia" w:ascii="Times New Roman" w:hAnsi="Times New Roman" w:cs="Times New Roman" w:eastAsiaTheme="majorEastAsia"/>
                <w:color w:val="auto"/>
                <w:sz w:val="21"/>
                <w:szCs w:val="21"/>
              </w:rPr>
              <w:t>）</w:t>
            </w:r>
            <w:r>
              <w:rPr>
                <w:rFonts w:ascii="Times New Roman" w:hAnsi="Times New Roman" w:cs="Times New Roman" w:eastAsiaTheme="majorEastAsia"/>
                <w:color w:val="auto"/>
                <w:sz w:val="21"/>
                <w:szCs w:val="21"/>
              </w:rPr>
              <w:t>提供相关检测报告（拟检测图书由投标人在本次招标的图书目录中自行选择，检测报告中送检公司名称须与投标人名称一致，出版社须与图书目录中的出版社名称一致;检测报告上须有CMA或CNAS标志;检测内容须具有HJ 2503-2011中表2《印刷产品有害物限量》中任意</w:t>
            </w:r>
            <w:r>
              <w:rPr>
                <w:rFonts w:hint="eastAsia" w:ascii="Times New Roman" w:hAnsi="Times New Roman" w:cs="Times New Roman" w:eastAsiaTheme="majorEastAsia"/>
                <w:color w:val="auto"/>
                <w:sz w:val="21"/>
                <w:szCs w:val="21"/>
              </w:rPr>
              <w:t>8</w:t>
            </w:r>
            <w:r>
              <w:rPr>
                <w:rFonts w:ascii="Times New Roman" w:hAnsi="Times New Roman" w:cs="Times New Roman" w:eastAsiaTheme="majorEastAsia"/>
                <w:color w:val="auto"/>
                <w:sz w:val="21"/>
                <w:szCs w:val="21"/>
              </w:rPr>
              <w:t>项</w:t>
            </w:r>
            <w:r>
              <w:rPr>
                <w:rFonts w:hint="eastAsia" w:ascii="Times New Roman" w:hAnsi="Times New Roman" w:cs="Times New Roman" w:eastAsiaTheme="majorEastAsia"/>
                <w:color w:val="auto"/>
                <w:sz w:val="21"/>
                <w:szCs w:val="21"/>
              </w:rPr>
              <w:t>）</w:t>
            </w:r>
            <w:r>
              <w:rPr>
                <w:rFonts w:ascii="Times New Roman" w:hAnsi="Times New Roman" w:cs="Times New Roman" w:eastAsiaTheme="majorEastAsia"/>
                <w:color w:val="auto"/>
                <w:sz w:val="21"/>
                <w:szCs w:val="21"/>
              </w:rPr>
              <w:t>;每提供一份检测报告得1分，本项最多得</w:t>
            </w:r>
            <w:r>
              <w:rPr>
                <w:rFonts w:hint="eastAsia" w:ascii="Times New Roman" w:hAnsi="Times New Roman" w:cs="Times New Roman" w:eastAsiaTheme="majorEastAsia"/>
                <w:color w:val="auto"/>
                <w:sz w:val="21"/>
                <w:szCs w:val="21"/>
              </w:rPr>
              <w:t>5</w:t>
            </w:r>
            <w:r>
              <w:rPr>
                <w:rFonts w:ascii="Times New Roman" w:hAnsi="Times New Roman" w:cs="Times New Roman" w:eastAsiaTheme="majorEastAsia"/>
                <w:color w:val="auto"/>
                <w:sz w:val="21"/>
                <w:szCs w:val="21"/>
              </w:rPr>
              <w:t>分。</w:t>
            </w:r>
          </w:p>
          <w:p>
            <w:pPr>
              <w:pStyle w:val="19"/>
              <w:spacing w:beforeAutospacing="0" w:afterAutospacing="0"/>
              <w:ind w:firstLine="420" w:firstLineChars="200"/>
              <w:rPr>
                <w:color w:val="auto"/>
              </w:rPr>
            </w:pPr>
            <w:r>
              <w:rPr>
                <w:rFonts w:ascii="Times New Roman" w:hAnsi="Times New Roman" w:cs="Times New Roman" w:eastAsiaTheme="majorEastAsia"/>
                <w:color w:val="auto"/>
                <w:sz w:val="21"/>
                <w:szCs w:val="21"/>
              </w:rPr>
              <w:t>注:投标时提供加盖投标人公章的检测报告复印件，在递交投标文件的同时提供检测报告原件或公证件，评审时核查。以上相关材料不提供或提供不全或提供无效证明材料的不得分。</w:t>
            </w:r>
          </w:p>
        </w:tc>
        <w:tc>
          <w:tcPr>
            <w:tcW w:w="915" w:type="dxa"/>
            <w:vAlign w:val="center"/>
          </w:tcPr>
          <w:p>
            <w:pPr>
              <w:spacing w:line="320" w:lineRule="exact"/>
              <w:jc w:val="center"/>
              <w:rPr>
                <w:color w:val="auto"/>
                <w:kern w:val="0"/>
              </w:rPr>
            </w:pPr>
            <w:r>
              <w:rPr>
                <w:rFonts w:hint="eastAsia"/>
                <w:color w:val="auto"/>
                <w:kern w:val="0"/>
              </w:rPr>
              <w:t>5</w:t>
            </w:r>
            <w:r>
              <w:rPr>
                <w:color w:val="auto"/>
                <w:kern w:val="0"/>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2" w:type="dxa"/>
            <w:vAlign w:val="center"/>
          </w:tcPr>
          <w:p>
            <w:pPr>
              <w:spacing w:line="320" w:lineRule="exact"/>
              <w:jc w:val="center"/>
              <w:rPr>
                <w:color w:val="000000" w:themeColor="text1"/>
                <w:kern w:val="0"/>
              </w:rPr>
            </w:pPr>
            <w:r>
              <w:rPr>
                <w:rFonts w:hint="eastAsia"/>
                <w:color w:val="000000" w:themeColor="text1"/>
                <w:kern w:val="0"/>
              </w:rPr>
              <w:t>7</w:t>
            </w:r>
          </w:p>
        </w:tc>
        <w:tc>
          <w:tcPr>
            <w:tcW w:w="1526" w:type="dxa"/>
            <w:vAlign w:val="center"/>
          </w:tcPr>
          <w:p>
            <w:pPr>
              <w:spacing w:line="320" w:lineRule="exact"/>
              <w:jc w:val="center"/>
              <w:rPr>
                <w:color w:val="000000" w:themeColor="text1"/>
                <w:kern w:val="0"/>
              </w:rPr>
            </w:pPr>
            <w:r>
              <w:rPr>
                <w:rFonts w:hint="eastAsia"/>
                <w:color w:val="000000" w:themeColor="text1"/>
                <w:kern w:val="0"/>
              </w:rPr>
              <w:t>项目方案</w:t>
            </w:r>
          </w:p>
        </w:tc>
        <w:tc>
          <w:tcPr>
            <w:tcW w:w="5823" w:type="dxa"/>
            <w:vAlign w:val="center"/>
          </w:tcPr>
          <w:p>
            <w:pPr>
              <w:spacing w:line="320" w:lineRule="exact"/>
              <w:ind w:firstLine="420" w:firstLineChars="200"/>
              <w:rPr>
                <w:rFonts w:cs="宋体"/>
                <w:color w:val="auto"/>
              </w:rPr>
            </w:pPr>
            <w:r>
              <w:rPr>
                <w:rFonts w:hint="eastAsia" w:ascii="宋体" w:hAnsi="宋体" w:cs="宋体"/>
                <w:bCs/>
                <w:color w:val="auto"/>
              </w:rPr>
              <w:t>1、</w:t>
            </w:r>
            <w:r>
              <w:rPr>
                <w:rFonts w:hint="eastAsia" w:ascii="宋体" w:hAnsi="宋体" w:cs="宋体"/>
                <w:color w:val="auto"/>
              </w:rPr>
              <w:t>根据投标人给出的</w:t>
            </w:r>
            <w:r>
              <w:rPr>
                <w:rFonts w:hint="eastAsia" w:ascii="宋体" w:hAnsi="宋体" w:cs="宋体"/>
                <w:bCs/>
                <w:color w:val="auto"/>
              </w:rPr>
              <w:t>整体供货及实施方案</w:t>
            </w:r>
            <w:r>
              <w:rPr>
                <w:rFonts w:hint="eastAsia" w:ascii="宋体" w:hAnsi="宋体" w:cs="宋体"/>
                <w:color w:val="auto"/>
              </w:rPr>
              <w:t>，针对本项目：（1）</w:t>
            </w:r>
            <w:r>
              <w:rPr>
                <w:rFonts w:hint="eastAsia" w:ascii="宋体" w:hAnsi="宋体" w:cs="宋体"/>
                <w:bCs/>
                <w:color w:val="auto"/>
                <w:kern w:val="0"/>
              </w:rPr>
              <w:t>配备计划及进场计划</w:t>
            </w:r>
            <w:r>
              <w:rPr>
                <w:rFonts w:hint="eastAsia" w:ascii="宋体" w:hAnsi="宋体" w:cs="宋体"/>
                <w:color w:val="auto"/>
              </w:rPr>
              <w:t>；（2）供货配送方式及交货时间表；（3）</w:t>
            </w:r>
            <w:r>
              <w:rPr>
                <w:rFonts w:hint="eastAsia" w:ascii="宋体" w:hAnsi="宋体" w:cs="宋体"/>
                <w:bCs/>
                <w:color w:val="auto"/>
                <w:kern w:val="0"/>
              </w:rPr>
              <w:t>质量保证计划、管理措施</w:t>
            </w:r>
            <w:r>
              <w:rPr>
                <w:rFonts w:hint="eastAsia" w:ascii="宋体" w:hAnsi="宋体" w:cs="宋体"/>
                <w:color w:val="auto"/>
              </w:rPr>
              <w:t>；（4）</w:t>
            </w:r>
            <w:r>
              <w:rPr>
                <w:rFonts w:hint="eastAsia" w:ascii="宋体" w:hAnsi="宋体" w:cs="宋体"/>
                <w:color w:val="auto"/>
                <w:kern w:val="0"/>
                <w:lang w:bidi="ar"/>
              </w:rPr>
              <w:t>进度计划及工期保证措施；（5）</w:t>
            </w:r>
            <w:r>
              <w:rPr>
                <w:rFonts w:hint="eastAsia" w:ascii="宋体" w:hAnsi="宋体" w:cs="宋体"/>
                <w:bCs/>
                <w:color w:val="auto"/>
                <w:kern w:val="0"/>
              </w:rPr>
              <w:t>现场问题与事故处理方案；</w:t>
            </w:r>
            <w:r>
              <w:rPr>
                <w:rFonts w:hint="eastAsia"/>
                <w:color w:val="auto"/>
              </w:rPr>
              <w:t>投标人对以上各项响应全面、保障全面、服务体系明确、切身考虑采购人利益、符合本项目特点，得基本分5分</w:t>
            </w:r>
            <w:r>
              <w:rPr>
                <w:rFonts w:hint="eastAsia" w:ascii="宋体" w:hAnsi="宋体" w:cs="仿宋"/>
                <w:color w:val="auto"/>
              </w:rPr>
              <w:t>，加分区间为0-2分，以0.1分为一个计分单位，未提供本项内容的本项不得分。</w:t>
            </w:r>
          </w:p>
          <w:p>
            <w:pPr>
              <w:spacing w:line="320" w:lineRule="exact"/>
              <w:ind w:firstLine="420" w:firstLineChars="200"/>
              <w:rPr>
                <w:color w:val="auto"/>
              </w:rPr>
            </w:pPr>
            <w:r>
              <w:rPr>
                <w:rFonts w:hint="eastAsia" w:ascii="宋体" w:hAnsi="宋体" w:cs="仿宋"/>
                <w:color w:val="auto"/>
              </w:rPr>
              <w:t>2、</w:t>
            </w:r>
            <w:r>
              <w:rPr>
                <w:rFonts w:hint="eastAsia" w:ascii="宋体" w:hAnsi="宋体" w:cs="仿宋"/>
                <w:color w:val="auto"/>
                <w:lang w:val="zh-CN"/>
              </w:rPr>
              <w:t>根据投标人</w:t>
            </w:r>
            <w:r>
              <w:rPr>
                <w:rFonts w:hint="eastAsia" w:ascii="宋体" w:hAnsi="宋体" w:cs="仿宋"/>
                <w:color w:val="auto"/>
              </w:rPr>
              <w:t>针对本项目编制完整、科学可行</w:t>
            </w:r>
            <w:r>
              <w:rPr>
                <w:rFonts w:hint="eastAsia" w:ascii="宋体" w:hAnsi="宋体" w:cs="仿宋"/>
                <w:color w:val="auto"/>
                <w:lang w:val="zh-CN"/>
              </w:rPr>
              <w:t>的售后服务及培训服务情况方案：售后服务及培训服务方案应该包括但不只限于提供：①、售后服务方案；②、售后响应时间；③、培训服务方案。售后服务方案应符合项目实际需求，</w:t>
            </w:r>
            <w:r>
              <w:rPr>
                <w:rFonts w:hint="eastAsia" w:ascii="宋体" w:hAnsi="宋体" w:cs="仿宋"/>
                <w:color w:val="auto"/>
              </w:rPr>
              <w:t>提供的方案对以上内容表述完善、合理有效的得基本分2分，加分区间为0-1分，以0.1分为一个计分单位，未提供本项内容的本项不得分。</w:t>
            </w:r>
          </w:p>
        </w:tc>
        <w:tc>
          <w:tcPr>
            <w:tcW w:w="915" w:type="dxa"/>
            <w:vAlign w:val="center"/>
          </w:tcPr>
          <w:p>
            <w:pPr>
              <w:spacing w:line="320" w:lineRule="exact"/>
              <w:jc w:val="center"/>
              <w:rPr>
                <w:color w:val="auto"/>
                <w:kern w:val="0"/>
              </w:rPr>
            </w:pPr>
            <w:r>
              <w:rPr>
                <w:rFonts w:hint="eastAsia"/>
                <w:color w:val="auto"/>
                <w:kern w:val="0"/>
              </w:rPr>
              <w:t>10分</w:t>
            </w:r>
          </w:p>
        </w:tc>
      </w:tr>
    </w:tbl>
    <w:p>
      <w:pPr>
        <w:tabs>
          <w:tab w:val="left" w:pos="900"/>
        </w:tabs>
        <w:spacing w:line="400" w:lineRule="exact"/>
        <w:ind w:firstLine="420" w:firstLineChars="200"/>
        <w:rPr>
          <w:color w:val="000000" w:themeColor="text1"/>
        </w:rPr>
      </w:pPr>
      <w:r>
        <w:rPr>
          <w:rFonts w:hint="eastAsia"/>
          <w:color w:val="000000" w:themeColor="text1"/>
        </w:rPr>
        <w:t>注：1. 针对评分标准中评分的每一条，投标单位均应提供相关资料并作出相应说明供评委评判，不提供相关资料的视为不具备该项得分的条件，资料须编好目录及页码并利于评委评审、查阅。</w:t>
      </w:r>
    </w:p>
    <w:p>
      <w:pPr>
        <w:tabs>
          <w:tab w:val="left" w:pos="900"/>
        </w:tabs>
        <w:spacing w:line="400" w:lineRule="exact"/>
        <w:ind w:firstLine="420" w:firstLineChars="200"/>
        <w:rPr>
          <w:color w:val="000000" w:themeColor="text1"/>
        </w:rPr>
      </w:pPr>
      <w:r>
        <w:rPr>
          <w:rFonts w:hint="eastAsia"/>
          <w:color w:val="000000" w:themeColor="text1"/>
        </w:rPr>
        <w:t>2. 所有要求递交的原件资料（无原件可用公证件代替），须在投标文件递交截止前与投标文件同时递交。</w:t>
      </w:r>
    </w:p>
    <w:p>
      <w:pPr>
        <w:tabs>
          <w:tab w:val="left" w:pos="900"/>
        </w:tabs>
        <w:spacing w:line="400" w:lineRule="exact"/>
        <w:ind w:firstLine="420" w:firstLineChars="200"/>
        <w:rPr>
          <w:color w:val="000000" w:themeColor="text1"/>
        </w:rPr>
      </w:pPr>
      <w:r>
        <w:rPr>
          <w:rFonts w:hint="eastAsia"/>
          <w:color w:val="000000" w:themeColor="text1"/>
        </w:rPr>
        <w:t>3. 投标单位必须保证全部投标资料的真实性，如有虚假将按《中华人民共和国政府采购法》第七十七条“提供虚假材料谋取中标、成交”相关处理办法处理。</w:t>
      </w:r>
    </w:p>
    <w:p>
      <w:pPr>
        <w:ind w:right="884" w:firstLine="1316" w:firstLineChars="298"/>
        <w:rPr>
          <w:rFonts w:eastAsia="黑体"/>
          <w:color w:val="000000" w:themeColor="text1"/>
          <w:sz w:val="40"/>
          <w:szCs w:val="40"/>
        </w:rPr>
      </w:pPr>
      <w:r>
        <w:rPr>
          <w:b/>
          <w:bCs/>
          <w:color w:val="000000" w:themeColor="text1"/>
          <w:sz w:val="44"/>
          <w:szCs w:val="44"/>
        </w:rPr>
        <w:br w:type="page"/>
      </w:r>
      <w:bookmarkStart w:id="129" w:name="_Toc108021877"/>
      <w:r>
        <w:rPr>
          <w:rFonts w:eastAsia="黑体"/>
          <w:color w:val="000000" w:themeColor="text1"/>
          <w:sz w:val="40"/>
          <w:szCs w:val="40"/>
        </w:rPr>
        <w:t>第六章  投标文件的组成和格式</w:t>
      </w:r>
      <w:bookmarkEnd w:id="129"/>
    </w:p>
    <w:p>
      <w:pPr>
        <w:jc w:val="center"/>
        <w:rPr>
          <w:b/>
          <w:bCs/>
          <w:color w:val="000000" w:themeColor="text1"/>
          <w:sz w:val="72"/>
          <w:szCs w:val="72"/>
        </w:rPr>
      </w:pPr>
    </w:p>
    <w:p>
      <w:pPr>
        <w:jc w:val="center"/>
        <w:rPr>
          <w:b/>
          <w:bCs/>
          <w:color w:val="000000" w:themeColor="text1"/>
          <w:sz w:val="72"/>
          <w:szCs w:val="72"/>
        </w:rPr>
      </w:pPr>
      <w:r>
        <w:rPr>
          <w:b/>
          <w:bCs/>
          <w:color w:val="000000" w:themeColor="text1"/>
          <w:sz w:val="72"/>
          <w:szCs w:val="72"/>
        </w:rPr>
        <w:t>投标文件</w:t>
      </w:r>
    </w:p>
    <w:p>
      <w:pPr>
        <w:adjustRightInd w:val="0"/>
        <w:spacing w:before="120" w:after="120" w:line="360" w:lineRule="auto"/>
        <w:jc w:val="center"/>
        <w:textAlignment w:val="baseline"/>
        <w:rPr>
          <w:b/>
          <w:bCs/>
          <w:color w:val="000000" w:themeColor="text1"/>
          <w:kern w:val="0"/>
          <w:sz w:val="32"/>
          <w:szCs w:val="32"/>
        </w:rPr>
      </w:pPr>
    </w:p>
    <w:p>
      <w:pPr>
        <w:jc w:val="center"/>
        <w:rPr>
          <w:b/>
          <w:bCs/>
          <w:color w:val="000000" w:themeColor="text1"/>
          <w:sz w:val="36"/>
          <w:szCs w:val="36"/>
        </w:rPr>
      </w:pPr>
      <w:r>
        <w:rPr>
          <w:b/>
          <w:bCs/>
          <w:color w:val="000000" w:themeColor="text1"/>
          <w:sz w:val="36"/>
          <w:szCs w:val="36"/>
        </w:rPr>
        <w:t>（正或副本）</w:t>
      </w:r>
    </w:p>
    <w:p>
      <w:pPr>
        <w:ind w:firstLine="1084"/>
        <w:rPr>
          <w:b/>
          <w:bCs/>
          <w:color w:val="000000" w:themeColor="text1"/>
          <w:sz w:val="36"/>
          <w:szCs w:val="36"/>
        </w:rPr>
      </w:pPr>
    </w:p>
    <w:p>
      <w:pPr>
        <w:ind w:firstLine="1084"/>
        <w:rPr>
          <w:b/>
          <w:bCs/>
          <w:color w:val="000000" w:themeColor="text1"/>
          <w:sz w:val="36"/>
          <w:szCs w:val="36"/>
        </w:rPr>
      </w:pPr>
    </w:p>
    <w:p>
      <w:pPr>
        <w:spacing w:before="312" w:beforeLines="100" w:after="312" w:afterLines="100"/>
        <w:ind w:firstLine="1083"/>
        <w:rPr>
          <w:b/>
          <w:bCs/>
          <w:color w:val="000000" w:themeColor="text1"/>
          <w:sz w:val="36"/>
          <w:szCs w:val="36"/>
        </w:rPr>
      </w:pPr>
      <w:r>
        <w:rPr>
          <w:b/>
          <w:bCs/>
          <w:color w:val="000000" w:themeColor="text1"/>
          <w:sz w:val="36"/>
          <w:szCs w:val="36"/>
        </w:rPr>
        <w:t>项 目 名 称：</w:t>
      </w:r>
    </w:p>
    <w:p>
      <w:pPr>
        <w:spacing w:before="312" w:beforeLines="100" w:after="312" w:afterLines="100"/>
        <w:ind w:firstLine="1083"/>
        <w:rPr>
          <w:b/>
          <w:bCs/>
          <w:color w:val="000000" w:themeColor="text1"/>
          <w:sz w:val="36"/>
          <w:szCs w:val="36"/>
          <w:u w:val="single"/>
        </w:rPr>
      </w:pPr>
      <w:r>
        <w:rPr>
          <w:b/>
          <w:bCs/>
          <w:color w:val="000000" w:themeColor="text1"/>
          <w:sz w:val="36"/>
          <w:szCs w:val="36"/>
        </w:rPr>
        <w:t>项 目 编 号：</w:t>
      </w:r>
    </w:p>
    <w:p>
      <w:pPr>
        <w:spacing w:before="312" w:beforeLines="100" w:after="312" w:afterLines="100"/>
        <w:ind w:firstLine="1083"/>
        <w:rPr>
          <w:b/>
          <w:bCs/>
          <w:color w:val="000000" w:themeColor="text1"/>
          <w:sz w:val="36"/>
          <w:szCs w:val="36"/>
        </w:rPr>
      </w:pPr>
      <w:r>
        <w:rPr>
          <w:b/>
          <w:bCs/>
          <w:color w:val="000000" w:themeColor="text1"/>
          <w:sz w:val="36"/>
          <w:szCs w:val="36"/>
        </w:rPr>
        <w:t>投标供应商名称：</w:t>
      </w:r>
    </w:p>
    <w:p>
      <w:pPr>
        <w:spacing w:before="312" w:beforeLines="100" w:after="312" w:afterLines="100"/>
        <w:ind w:firstLine="1083"/>
        <w:rPr>
          <w:b/>
          <w:bCs/>
          <w:color w:val="000000" w:themeColor="text1"/>
          <w:sz w:val="36"/>
          <w:szCs w:val="36"/>
        </w:rPr>
      </w:pPr>
      <w:r>
        <w:rPr>
          <w:b/>
          <w:bCs/>
          <w:color w:val="000000" w:themeColor="text1"/>
          <w:sz w:val="36"/>
          <w:szCs w:val="36"/>
        </w:rPr>
        <w:t>日       期：</w:t>
      </w:r>
    </w:p>
    <w:p>
      <w:pPr>
        <w:spacing w:line="440" w:lineRule="exact"/>
        <w:jc w:val="center"/>
        <w:rPr>
          <w:b/>
          <w:bCs/>
          <w:color w:val="000000" w:themeColor="text1"/>
          <w:sz w:val="28"/>
          <w:szCs w:val="28"/>
        </w:rPr>
      </w:pPr>
    </w:p>
    <w:p>
      <w:pPr>
        <w:spacing w:line="440" w:lineRule="exact"/>
        <w:jc w:val="center"/>
        <w:rPr>
          <w:b/>
          <w:bCs/>
          <w:color w:val="000000" w:themeColor="text1"/>
          <w:sz w:val="28"/>
          <w:szCs w:val="28"/>
        </w:rPr>
      </w:pPr>
    </w:p>
    <w:p>
      <w:pPr>
        <w:pStyle w:val="25"/>
        <w:rPr>
          <w:b/>
          <w:bCs/>
          <w:color w:val="000000" w:themeColor="text1"/>
          <w:sz w:val="28"/>
          <w:szCs w:val="28"/>
        </w:rPr>
      </w:pPr>
    </w:p>
    <w:p>
      <w:pPr>
        <w:pStyle w:val="25"/>
        <w:rPr>
          <w:b/>
          <w:bCs/>
          <w:color w:val="000000" w:themeColor="text1"/>
          <w:sz w:val="28"/>
          <w:szCs w:val="28"/>
        </w:rPr>
      </w:pPr>
    </w:p>
    <w:p>
      <w:pPr>
        <w:pStyle w:val="25"/>
        <w:rPr>
          <w:b/>
          <w:bCs/>
          <w:color w:val="000000" w:themeColor="text1"/>
          <w:sz w:val="28"/>
          <w:szCs w:val="28"/>
        </w:rPr>
      </w:pPr>
    </w:p>
    <w:p>
      <w:pPr>
        <w:widowControl/>
        <w:jc w:val="left"/>
        <w:rPr>
          <w:b/>
          <w:bCs/>
          <w:color w:val="000000" w:themeColor="text1"/>
          <w:sz w:val="28"/>
          <w:szCs w:val="28"/>
        </w:rPr>
      </w:pPr>
      <w:r>
        <w:rPr>
          <w:b/>
          <w:bCs/>
          <w:color w:val="000000" w:themeColor="text1"/>
          <w:sz w:val="28"/>
          <w:szCs w:val="28"/>
        </w:rPr>
        <w:br w:type="page"/>
      </w:r>
    </w:p>
    <w:p>
      <w:pPr>
        <w:spacing w:line="480" w:lineRule="exact"/>
        <w:jc w:val="center"/>
        <w:rPr>
          <w:b/>
          <w:bCs/>
          <w:color w:val="000000" w:themeColor="text1"/>
          <w:sz w:val="32"/>
          <w:szCs w:val="32"/>
        </w:rPr>
      </w:pPr>
      <w:r>
        <w:rPr>
          <w:b/>
          <w:bCs/>
          <w:color w:val="000000" w:themeColor="text1"/>
          <w:sz w:val="32"/>
          <w:szCs w:val="32"/>
        </w:rPr>
        <w:t>投标文件主要目录</w:t>
      </w:r>
    </w:p>
    <w:p>
      <w:pPr>
        <w:spacing w:line="360" w:lineRule="auto"/>
        <w:ind w:firstLine="480" w:firstLineChars="200"/>
        <w:rPr>
          <w:color w:val="000000" w:themeColor="text1"/>
          <w:sz w:val="24"/>
          <w:szCs w:val="24"/>
        </w:rPr>
      </w:pPr>
    </w:p>
    <w:p>
      <w:pPr>
        <w:spacing w:line="360" w:lineRule="auto"/>
        <w:ind w:firstLine="480" w:firstLineChars="200"/>
        <w:rPr>
          <w:color w:val="000000" w:themeColor="text1"/>
          <w:sz w:val="24"/>
          <w:szCs w:val="24"/>
        </w:rPr>
      </w:pPr>
      <w:r>
        <w:rPr>
          <w:color w:val="000000" w:themeColor="text1"/>
          <w:sz w:val="24"/>
          <w:szCs w:val="24"/>
        </w:rPr>
        <w:t>一、资信证明文件要求</w:t>
      </w:r>
    </w:p>
    <w:p>
      <w:pPr>
        <w:spacing w:line="360" w:lineRule="auto"/>
        <w:ind w:firstLine="480" w:firstLineChars="200"/>
        <w:rPr>
          <w:color w:val="000000" w:themeColor="text1"/>
          <w:sz w:val="24"/>
          <w:szCs w:val="24"/>
        </w:rPr>
      </w:pPr>
      <w:r>
        <w:rPr>
          <w:color w:val="000000" w:themeColor="text1"/>
          <w:sz w:val="24"/>
          <w:szCs w:val="24"/>
        </w:rPr>
        <w:t>二、资格性审查响应对照表</w:t>
      </w:r>
    </w:p>
    <w:p>
      <w:pPr>
        <w:spacing w:line="360" w:lineRule="auto"/>
        <w:ind w:firstLine="480" w:firstLineChars="200"/>
        <w:rPr>
          <w:color w:val="000000" w:themeColor="text1"/>
          <w:sz w:val="24"/>
          <w:szCs w:val="24"/>
        </w:rPr>
      </w:pPr>
      <w:r>
        <w:rPr>
          <w:color w:val="000000" w:themeColor="text1"/>
          <w:sz w:val="24"/>
          <w:szCs w:val="24"/>
        </w:rPr>
        <w:t>三、符合性检查响应对照表</w:t>
      </w:r>
    </w:p>
    <w:p>
      <w:pPr>
        <w:spacing w:line="360" w:lineRule="auto"/>
        <w:ind w:firstLine="480" w:firstLineChars="200"/>
        <w:rPr>
          <w:color w:val="000000" w:themeColor="text1"/>
          <w:sz w:val="24"/>
          <w:szCs w:val="24"/>
        </w:rPr>
      </w:pPr>
      <w:r>
        <w:rPr>
          <w:color w:val="000000" w:themeColor="text1"/>
          <w:sz w:val="24"/>
          <w:szCs w:val="24"/>
        </w:rPr>
        <w:t>四、投标函</w:t>
      </w:r>
    </w:p>
    <w:p>
      <w:pPr>
        <w:spacing w:line="360" w:lineRule="auto"/>
        <w:ind w:firstLine="480" w:firstLineChars="200"/>
        <w:rPr>
          <w:color w:val="000000" w:themeColor="text1"/>
          <w:sz w:val="24"/>
          <w:szCs w:val="24"/>
        </w:rPr>
      </w:pPr>
      <w:r>
        <w:rPr>
          <w:color w:val="000000" w:themeColor="text1"/>
          <w:sz w:val="24"/>
          <w:szCs w:val="24"/>
        </w:rPr>
        <w:t>五、开标一览表</w:t>
      </w:r>
    </w:p>
    <w:p>
      <w:pPr>
        <w:spacing w:line="360" w:lineRule="auto"/>
        <w:ind w:firstLine="480" w:firstLineChars="200"/>
        <w:rPr>
          <w:color w:val="000000" w:themeColor="text1"/>
          <w:sz w:val="24"/>
          <w:szCs w:val="24"/>
        </w:rPr>
      </w:pPr>
      <w:r>
        <w:rPr>
          <w:color w:val="000000" w:themeColor="text1"/>
          <w:sz w:val="24"/>
          <w:szCs w:val="24"/>
        </w:rPr>
        <w:t>六、技术参数响应及偏离表</w:t>
      </w:r>
    </w:p>
    <w:p>
      <w:pPr>
        <w:spacing w:line="360" w:lineRule="auto"/>
        <w:ind w:firstLine="480" w:firstLineChars="200"/>
        <w:rPr>
          <w:color w:val="000000" w:themeColor="text1"/>
          <w:sz w:val="24"/>
          <w:szCs w:val="24"/>
        </w:rPr>
      </w:pPr>
      <w:r>
        <w:rPr>
          <w:color w:val="000000" w:themeColor="text1"/>
          <w:sz w:val="24"/>
          <w:szCs w:val="24"/>
        </w:rPr>
        <w:t>七、商务条款响应及偏离表</w:t>
      </w:r>
    </w:p>
    <w:p>
      <w:pPr>
        <w:spacing w:line="360" w:lineRule="auto"/>
        <w:ind w:firstLine="480" w:firstLineChars="200"/>
        <w:rPr>
          <w:color w:val="000000" w:themeColor="text1"/>
          <w:sz w:val="24"/>
          <w:szCs w:val="24"/>
        </w:rPr>
      </w:pPr>
      <w:r>
        <w:rPr>
          <w:rFonts w:hint="eastAsia"/>
          <w:color w:val="000000" w:themeColor="text1"/>
          <w:sz w:val="24"/>
          <w:szCs w:val="24"/>
          <w:lang w:eastAsia="zh-CN"/>
        </w:rPr>
        <w:t>八</w:t>
      </w:r>
      <w:r>
        <w:rPr>
          <w:color w:val="000000" w:themeColor="text1"/>
          <w:sz w:val="24"/>
          <w:szCs w:val="24"/>
        </w:rPr>
        <w:t>、盐城市政府采购事前信用承诺书</w:t>
      </w:r>
    </w:p>
    <w:p>
      <w:pPr>
        <w:spacing w:line="440" w:lineRule="exact"/>
        <w:ind w:firstLine="480" w:firstLineChars="200"/>
        <w:rPr>
          <w:rFonts w:hint="eastAsia"/>
          <w:color w:val="000000" w:themeColor="text1"/>
          <w:sz w:val="24"/>
          <w:szCs w:val="24"/>
        </w:rPr>
      </w:pPr>
      <w:r>
        <w:rPr>
          <w:rFonts w:hint="eastAsia"/>
          <w:color w:val="000000" w:themeColor="text1"/>
          <w:sz w:val="24"/>
          <w:szCs w:val="24"/>
          <w:lang w:eastAsia="zh-CN"/>
        </w:rPr>
        <w:t>九</w:t>
      </w:r>
      <w:r>
        <w:rPr>
          <w:rFonts w:hint="eastAsia"/>
          <w:color w:val="000000" w:themeColor="text1"/>
          <w:sz w:val="24"/>
          <w:szCs w:val="24"/>
        </w:rPr>
        <w:t>、承诺书</w:t>
      </w:r>
    </w:p>
    <w:p>
      <w:pPr>
        <w:spacing w:line="360" w:lineRule="auto"/>
        <w:ind w:firstLine="480" w:firstLineChars="200"/>
        <w:rPr>
          <w:color w:val="000000" w:themeColor="text1"/>
          <w:sz w:val="24"/>
          <w:szCs w:val="24"/>
        </w:rPr>
      </w:pPr>
      <w:r>
        <w:rPr>
          <w:rFonts w:hint="eastAsia"/>
          <w:color w:val="000000" w:themeColor="text1"/>
          <w:sz w:val="24"/>
          <w:szCs w:val="24"/>
          <w:lang w:eastAsia="zh-CN"/>
        </w:rPr>
        <w:t>十</w:t>
      </w:r>
      <w:r>
        <w:rPr>
          <w:color w:val="000000" w:themeColor="text1"/>
          <w:sz w:val="24"/>
          <w:szCs w:val="24"/>
        </w:rPr>
        <w:t>、投标文件中规定要求提供的材料或投标供应商认为需要提供的其他材料</w:t>
      </w:r>
    </w:p>
    <w:p>
      <w:pPr>
        <w:pStyle w:val="2"/>
      </w:pPr>
    </w:p>
    <w:p>
      <w:pPr>
        <w:spacing w:line="440" w:lineRule="exact"/>
        <w:ind w:firstLine="480" w:firstLineChars="200"/>
        <w:rPr>
          <w:color w:val="000000" w:themeColor="text1"/>
          <w:sz w:val="24"/>
          <w:szCs w:val="24"/>
        </w:rPr>
      </w:pPr>
    </w:p>
    <w:p>
      <w:pPr>
        <w:spacing w:line="440" w:lineRule="exact"/>
        <w:ind w:firstLine="480" w:firstLineChars="200"/>
        <w:rPr>
          <w:color w:val="000000" w:themeColor="text1"/>
          <w:sz w:val="24"/>
          <w:szCs w:val="24"/>
        </w:rPr>
      </w:pPr>
    </w:p>
    <w:p>
      <w:pPr>
        <w:spacing w:line="440" w:lineRule="exact"/>
        <w:ind w:firstLine="480" w:firstLineChars="200"/>
        <w:rPr>
          <w:color w:val="000000" w:themeColor="text1"/>
          <w:sz w:val="24"/>
          <w:szCs w:val="24"/>
        </w:rPr>
      </w:pPr>
    </w:p>
    <w:p>
      <w:pPr>
        <w:spacing w:line="440" w:lineRule="exact"/>
        <w:ind w:firstLine="480" w:firstLineChars="200"/>
        <w:rPr>
          <w:color w:val="000000" w:themeColor="text1"/>
          <w:sz w:val="24"/>
          <w:szCs w:val="24"/>
        </w:rPr>
      </w:pPr>
    </w:p>
    <w:p>
      <w:pPr>
        <w:spacing w:line="440" w:lineRule="exact"/>
        <w:ind w:firstLine="480" w:firstLineChars="200"/>
        <w:rPr>
          <w:color w:val="000000" w:themeColor="text1"/>
          <w:sz w:val="24"/>
          <w:szCs w:val="24"/>
        </w:rPr>
      </w:pPr>
    </w:p>
    <w:p>
      <w:pPr>
        <w:spacing w:line="440" w:lineRule="exact"/>
        <w:ind w:firstLine="480" w:firstLineChars="200"/>
        <w:rPr>
          <w:color w:val="000000" w:themeColor="text1"/>
          <w:sz w:val="24"/>
          <w:szCs w:val="24"/>
        </w:rPr>
      </w:pPr>
    </w:p>
    <w:p>
      <w:pPr>
        <w:spacing w:line="440" w:lineRule="exact"/>
        <w:ind w:firstLine="480" w:firstLineChars="200"/>
        <w:rPr>
          <w:color w:val="000000" w:themeColor="text1"/>
          <w:sz w:val="24"/>
          <w:szCs w:val="24"/>
        </w:rPr>
      </w:pPr>
    </w:p>
    <w:p>
      <w:pPr>
        <w:spacing w:line="440" w:lineRule="exact"/>
        <w:ind w:firstLine="480" w:firstLineChars="200"/>
        <w:rPr>
          <w:color w:val="000000" w:themeColor="text1"/>
          <w:sz w:val="24"/>
          <w:szCs w:val="24"/>
        </w:rPr>
      </w:pPr>
    </w:p>
    <w:p>
      <w:pPr>
        <w:spacing w:line="440" w:lineRule="exact"/>
        <w:ind w:firstLine="480" w:firstLineChars="200"/>
        <w:rPr>
          <w:color w:val="000000" w:themeColor="text1"/>
          <w:sz w:val="24"/>
          <w:szCs w:val="24"/>
        </w:rPr>
      </w:pPr>
    </w:p>
    <w:p>
      <w:pPr>
        <w:spacing w:line="440" w:lineRule="exact"/>
        <w:ind w:firstLine="480" w:firstLineChars="200"/>
        <w:rPr>
          <w:color w:val="000000" w:themeColor="text1"/>
          <w:sz w:val="24"/>
          <w:szCs w:val="24"/>
        </w:rPr>
      </w:pPr>
    </w:p>
    <w:p>
      <w:pPr>
        <w:snapToGrid w:val="0"/>
        <w:spacing w:before="50" w:after="50"/>
        <w:jc w:val="center"/>
        <w:rPr>
          <w:rFonts w:eastAsia="黑体"/>
          <w:color w:val="000000" w:themeColor="text1"/>
          <w:sz w:val="32"/>
          <w:szCs w:val="32"/>
        </w:rPr>
      </w:pPr>
      <w:r>
        <w:rPr>
          <w:color w:val="000000" w:themeColor="text1"/>
          <w:sz w:val="24"/>
          <w:szCs w:val="24"/>
        </w:rPr>
        <w:br w:type="page"/>
      </w:r>
      <w:r>
        <w:rPr>
          <w:rFonts w:eastAsia="黑体"/>
          <w:color w:val="000000" w:themeColor="text1"/>
          <w:sz w:val="32"/>
          <w:szCs w:val="32"/>
        </w:rPr>
        <w:t>一、资信证明文件要求</w:t>
      </w:r>
    </w:p>
    <w:p>
      <w:pPr>
        <w:snapToGrid w:val="0"/>
        <w:spacing w:before="50" w:after="50" w:line="360" w:lineRule="auto"/>
        <w:rPr>
          <w:b/>
          <w:bCs/>
          <w:color w:val="000000" w:themeColor="text1"/>
          <w:sz w:val="24"/>
          <w:szCs w:val="24"/>
        </w:rPr>
      </w:pPr>
    </w:p>
    <w:p>
      <w:pPr>
        <w:snapToGrid w:val="0"/>
        <w:spacing w:line="440" w:lineRule="exact"/>
        <w:ind w:firstLine="482" w:firstLineChars="200"/>
        <w:rPr>
          <w:color w:val="000000" w:themeColor="text1"/>
          <w:sz w:val="24"/>
          <w:szCs w:val="24"/>
        </w:rPr>
      </w:pPr>
      <w:r>
        <w:rPr>
          <w:b/>
          <w:bCs/>
          <w:color w:val="000000" w:themeColor="text1"/>
          <w:sz w:val="24"/>
          <w:szCs w:val="24"/>
        </w:rPr>
        <w:t>1、实质性资格证明文件目录</w:t>
      </w:r>
    </w:p>
    <w:p>
      <w:pPr>
        <w:snapToGrid w:val="0"/>
        <w:spacing w:line="440" w:lineRule="exact"/>
        <w:ind w:firstLine="480" w:firstLineChars="200"/>
        <w:rPr>
          <w:color w:val="000000" w:themeColor="text1"/>
          <w:sz w:val="24"/>
          <w:szCs w:val="24"/>
        </w:rPr>
      </w:pPr>
      <w:r>
        <w:rPr>
          <w:color w:val="000000" w:themeColor="text1"/>
          <w:sz w:val="24"/>
          <w:szCs w:val="24"/>
        </w:rPr>
        <w:t>文件1  法人或者其他组织的营业执照等证明文件，自然人的身份证明（复印件）</w:t>
      </w:r>
    </w:p>
    <w:p>
      <w:pPr>
        <w:snapToGrid w:val="0"/>
        <w:spacing w:line="440" w:lineRule="exact"/>
        <w:ind w:firstLine="480" w:firstLineChars="200"/>
        <w:rPr>
          <w:color w:val="000000" w:themeColor="text1"/>
          <w:sz w:val="24"/>
          <w:szCs w:val="24"/>
        </w:rPr>
      </w:pPr>
      <w:r>
        <w:rPr>
          <w:color w:val="000000" w:themeColor="text1"/>
          <w:sz w:val="24"/>
          <w:szCs w:val="24"/>
        </w:rPr>
        <w:t>文件2  上一年度财务状况报表（复印件，成立不满一年不需提供）</w:t>
      </w:r>
    </w:p>
    <w:p>
      <w:pPr>
        <w:snapToGrid w:val="0"/>
        <w:spacing w:line="440" w:lineRule="exact"/>
        <w:ind w:firstLine="480" w:firstLineChars="200"/>
        <w:rPr>
          <w:color w:val="000000" w:themeColor="text1"/>
          <w:sz w:val="24"/>
          <w:szCs w:val="24"/>
        </w:rPr>
      </w:pPr>
      <w:r>
        <w:rPr>
          <w:color w:val="000000" w:themeColor="text1"/>
          <w:sz w:val="24"/>
          <w:szCs w:val="24"/>
        </w:rPr>
        <w:t>文件3  依法缴纳税收和社会保障资金的相关材料（复印件）</w:t>
      </w:r>
    </w:p>
    <w:p>
      <w:pPr>
        <w:snapToGrid w:val="0"/>
        <w:spacing w:line="440" w:lineRule="exact"/>
        <w:ind w:firstLine="480" w:firstLineChars="200"/>
        <w:rPr>
          <w:color w:val="000000" w:themeColor="text1"/>
          <w:sz w:val="24"/>
          <w:szCs w:val="24"/>
        </w:rPr>
      </w:pPr>
      <w:r>
        <w:rPr>
          <w:color w:val="000000" w:themeColor="text1"/>
          <w:sz w:val="24"/>
          <w:szCs w:val="24"/>
        </w:rPr>
        <w:t>文件4  具备履行合同所必需的设备和专业技术能力证明材料</w:t>
      </w:r>
    </w:p>
    <w:p>
      <w:pPr>
        <w:snapToGrid w:val="0"/>
        <w:spacing w:line="440" w:lineRule="exact"/>
        <w:ind w:firstLine="480" w:firstLineChars="200"/>
        <w:rPr>
          <w:color w:val="000000" w:themeColor="text1"/>
          <w:sz w:val="24"/>
          <w:szCs w:val="24"/>
        </w:rPr>
      </w:pPr>
      <w:r>
        <w:rPr>
          <w:color w:val="000000" w:themeColor="text1"/>
          <w:sz w:val="24"/>
          <w:szCs w:val="24"/>
        </w:rPr>
        <w:t>文件5 参加政府采购活动前 3 年内在经营活动中没有重大违法记录的书面声明</w:t>
      </w:r>
    </w:p>
    <w:p>
      <w:pPr>
        <w:snapToGrid w:val="0"/>
        <w:spacing w:line="440" w:lineRule="exact"/>
        <w:ind w:firstLine="480" w:firstLineChars="200"/>
        <w:rPr>
          <w:color w:val="000000" w:themeColor="text1"/>
          <w:sz w:val="24"/>
          <w:szCs w:val="24"/>
        </w:rPr>
      </w:pPr>
      <w:r>
        <w:rPr>
          <w:color w:val="000000" w:themeColor="text1"/>
          <w:sz w:val="24"/>
          <w:szCs w:val="24"/>
        </w:rPr>
        <w:t>文件6 法人授权书</w:t>
      </w:r>
    </w:p>
    <w:p>
      <w:pPr>
        <w:snapToGrid w:val="0"/>
        <w:spacing w:line="440" w:lineRule="exact"/>
        <w:ind w:firstLine="480" w:firstLineChars="200"/>
        <w:rPr>
          <w:color w:val="000000" w:themeColor="text1"/>
          <w:sz w:val="24"/>
          <w:szCs w:val="24"/>
        </w:rPr>
      </w:pPr>
      <w:r>
        <w:rPr>
          <w:color w:val="000000" w:themeColor="text1"/>
          <w:sz w:val="24"/>
          <w:szCs w:val="24"/>
        </w:rPr>
        <w:t>文件7  招标文件中规定要求提供的证明材料和投标人认为需要提供的其他材料（招标文件要求提供原件的必须单独封装并与投标文件一起递交，评标结束后原件退回；未要求提供原件的提供复印件，原件自带备查）</w:t>
      </w:r>
    </w:p>
    <w:p>
      <w:pPr>
        <w:snapToGrid w:val="0"/>
        <w:spacing w:line="440" w:lineRule="exact"/>
        <w:ind w:firstLine="480" w:firstLineChars="200"/>
        <w:rPr>
          <w:color w:val="000000" w:themeColor="text1"/>
          <w:sz w:val="24"/>
          <w:szCs w:val="24"/>
        </w:rPr>
      </w:pPr>
    </w:p>
    <w:p>
      <w:pPr>
        <w:snapToGrid w:val="0"/>
        <w:spacing w:line="440" w:lineRule="exact"/>
        <w:ind w:firstLine="482" w:firstLineChars="200"/>
        <w:rPr>
          <w:b/>
          <w:bCs/>
          <w:color w:val="000000" w:themeColor="text1"/>
          <w:sz w:val="24"/>
          <w:szCs w:val="24"/>
        </w:rPr>
      </w:pPr>
      <w:r>
        <w:rPr>
          <w:b/>
          <w:bCs/>
          <w:color w:val="000000" w:themeColor="text1"/>
          <w:sz w:val="24"/>
          <w:szCs w:val="24"/>
        </w:rPr>
        <w:t>2、非实质性资信证明文件目录</w:t>
      </w:r>
    </w:p>
    <w:p>
      <w:pPr>
        <w:pStyle w:val="6"/>
        <w:spacing w:line="440" w:lineRule="exact"/>
        <w:ind w:firstLine="480" w:firstLineChars="200"/>
        <w:rPr>
          <w:color w:val="000000" w:themeColor="text1"/>
          <w:sz w:val="24"/>
          <w:szCs w:val="24"/>
        </w:rPr>
      </w:pPr>
      <w:r>
        <w:rPr>
          <w:color w:val="000000" w:themeColor="text1"/>
          <w:sz w:val="24"/>
          <w:szCs w:val="24"/>
        </w:rPr>
        <w:t>格式1  《企业申明函》</w:t>
      </w:r>
    </w:p>
    <w:p>
      <w:pPr>
        <w:pStyle w:val="6"/>
        <w:spacing w:line="0" w:lineRule="atLeast"/>
        <w:rPr>
          <w:color w:val="000000" w:themeColor="text1"/>
          <w:sz w:val="24"/>
          <w:szCs w:val="24"/>
        </w:rPr>
      </w:pPr>
    </w:p>
    <w:p>
      <w:pPr>
        <w:pStyle w:val="6"/>
        <w:spacing w:line="0" w:lineRule="atLeast"/>
        <w:rPr>
          <w:color w:val="000000" w:themeColor="text1"/>
          <w:sz w:val="24"/>
          <w:szCs w:val="24"/>
        </w:rPr>
      </w:pPr>
    </w:p>
    <w:p>
      <w:pPr>
        <w:spacing w:line="480" w:lineRule="exact"/>
        <w:jc w:val="center"/>
        <w:rPr>
          <w:b/>
          <w:bCs/>
          <w:color w:val="000000" w:themeColor="text1"/>
          <w:sz w:val="32"/>
          <w:szCs w:val="32"/>
        </w:rPr>
      </w:pPr>
      <w:r>
        <w:rPr>
          <w:color w:val="000000" w:themeColor="text1"/>
          <w:sz w:val="24"/>
          <w:szCs w:val="24"/>
        </w:rPr>
        <w:br w:type="page"/>
      </w:r>
      <w:r>
        <w:rPr>
          <w:b/>
          <w:bCs/>
          <w:color w:val="000000" w:themeColor="text1"/>
          <w:sz w:val="32"/>
          <w:szCs w:val="32"/>
        </w:rPr>
        <w:t>具备履行合同所必需的设备和专业技术能力的书面声明</w:t>
      </w:r>
    </w:p>
    <w:p>
      <w:pPr>
        <w:spacing w:line="460" w:lineRule="exact"/>
        <w:ind w:firstLine="492"/>
        <w:rPr>
          <w:color w:val="000000" w:themeColor="text1"/>
          <w:sz w:val="24"/>
          <w:szCs w:val="24"/>
        </w:rPr>
      </w:pPr>
    </w:p>
    <w:p>
      <w:pPr>
        <w:spacing w:line="460" w:lineRule="exact"/>
        <w:ind w:firstLine="480" w:firstLineChars="200"/>
        <w:rPr>
          <w:color w:val="000000" w:themeColor="text1"/>
          <w:sz w:val="24"/>
          <w:szCs w:val="24"/>
        </w:rPr>
      </w:pPr>
      <w:r>
        <w:rPr>
          <w:color w:val="000000" w:themeColor="text1"/>
          <w:sz w:val="24"/>
          <w:szCs w:val="24"/>
        </w:rPr>
        <w:t>我公司郑重声明：我公司具备履行本项采购合同所必需的设备和专业技术能力，为履行本项采购合同我公司具备如下主要设备和主要专业技术能力：</w:t>
      </w:r>
    </w:p>
    <w:p>
      <w:pPr>
        <w:spacing w:line="460" w:lineRule="exact"/>
        <w:ind w:firstLine="492"/>
        <w:rPr>
          <w:color w:val="000000" w:themeColor="text1"/>
          <w:sz w:val="24"/>
          <w:szCs w:val="24"/>
        </w:rPr>
      </w:pPr>
      <w:r>
        <w:rPr>
          <w:color w:val="000000" w:themeColor="text1"/>
          <w:sz w:val="24"/>
          <w:szCs w:val="24"/>
        </w:rPr>
        <w:t>主要设备有：。</w:t>
      </w:r>
    </w:p>
    <w:p>
      <w:pPr>
        <w:spacing w:line="460" w:lineRule="exact"/>
        <w:ind w:firstLine="492"/>
        <w:rPr>
          <w:color w:val="000000" w:themeColor="text1"/>
          <w:sz w:val="24"/>
          <w:szCs w:val="24"/>
        </w:rPr>
      </w:pPr>
      <w:r>
        <w:rPr>
          <w:color w:val="000000" w:themeColor="text1"/>
          <w:sz w:val="24"/>
          <w:szCs w:val="24"/>
        </w:rPr>
        <w:t>主要专业技术能力有：。</w:t>
      </w:r>
    </w:p>
    <w:p>
      <w:pPr>
        <w:spacing w:line="460" w:lineRule="exact"/>
        <w:ind w:firstLine="492"/>
        <w:rPr>
          <w:color w:val="000000" w:themeColor="text1"/>
          <w:sz w:val="24"/>
          <w:szCs w:val="24"/>
        </w:rPr>
      </w:pPr>
    </w:p>
    <w:p>
      <w:pPr>
        <w:spacing w:line="460" w:lineRule="exact"/>
        <w:ind w:firstLine="492"/>
        <w:rPr>
          <w:color w:val="000000" w:themeColor="text1"/>
          <w:sz w:val="24"/>
          <w:szCs w:val="24"/>
        </w:rPr>
      </w:pPr>
    </w:p>
    <w:p>
      <w:pPr>
        <w:spacing w:line="460" w:lineRule="exact"/>
        <w:ind w:firstLine="492"/>
        <w:rPr>
          <w:color w:val="000000" w:themeColor="text1"/>
          <w:sz w:val="24"/>
          <w:szCs w:val="24"/>
        </w:rPr>
      </w:pPr>
    </w:p>
    <w:p>
      <w:pPr>
        <w:spacing w:line="460" w:lineRule="exact"/>
        <w:rPr>
          <w:color w:val="000000" w:themeColor="text1"/>
          <w:sz w:val="24"/>
          <w:szCs w:val="24"/>
        </w:rPr>
      </w:pPr>
      <w:r>
        <w:rPr>
          <w:color w:val="000000" w:themeColor="text1"/>
          <w:sz w:val="24"/>
          <w:szCs w:val="24"/>
        </w:rPr>
        <w:t xml:space="preserve">                                      供应商名称（公章）：</w:t>
      </w:r>
    </w:p>
    <w:p>
      <w:pPr>
        <w:spacing w:line="460" w:lineRule="exact"/>
        <w:rPr>
          <w:color w:val="000000" w:themeColor="text1"/>
          <w:sz w:val="24"/>
          <w:szCs w:val="24"/>
        </w:rPr>
      </w:pPr>
    </w:p>
    <w:p>
      <w:pPr>
        <w:spacing w:line="460" w:lineRule="exact"/>
        <w:rPr>
          <w:color w:val="000000" w:themeColor="text1"/>
          <w:sz w:val="24"/>
          <w:szCs w:val="24"/>
        </w:rPr>
      </w:pPr>
      <w:r>
        <w:rPr>
          <w:color w:val="000000" w:themeColor="text1"/>
          <w:sz w:val="24"/>
          <w:szCs w:val="24"/>
        </w:rPr>
        <w:t xml:space="preserve">                                     日期：</w:t>
      </w:r>
      <w:r>
        <w:rPr>
          <w:color w:val="000000" w:themeColor="text1"/>
          <w:sz w:val="24"/>
          <w:szCs w:val="24"/>
          <w:u w:val="single"/>
        </w:rPr>
        <w:t>______</w:t>
      </w:r>
      <w:r>
        <w:rPr>
          <w:color w:val="000000" w:themeColor="text1"/>
          <w:sz w:val="24"/>
          <w:szCs w:val="24"/>
        </w:rPr>
        <w:t>年月日</w:t>
      </w:r>
    </w:p>
    <w:p>
      <w:pPr>
        <w:pStyle w:val="6"/>
        <w:ind w:firstLine="0"/>
        <w:rPr>
          <w:color w:val="000000" w:themeColor="text1"/>
        </w:rPr>
      </w:pPr>
      <w:r>
        <w:rPr>
          <w:color w:val="000000" w:themeColor="text1"/>
        </w:rPr>
        <w:br w:type="page"/>
      </w:r>
    </w:p>
    <w:p>
      <w:pPr>
        <w:spacing w:line="480" w:lineRule="exact"/>
        <w:jc w:val="center"/>
        <w:rPr>
          <w:b/>
          <w:bCs/>
          <w:color w:val="000000" w:themeColor="text1"/>
          <w:sz w:val="32"/>
          <w:szCs w:val="32"/>
        </w:rPr>
      </w:pPr>
      <w:r>
        <w:rPr>
          <w:b/>
          <w:bCs/>
          <w:color w:val="000000" w:themeColor="text1"/>
          <w:sz w:val="32"/>
          <w:szCs w:val="32"/>
        </w:rPr>
        <w:t>参加政府采购活动前3年内在经营活动中没有重大违法记录的书面声明</w:t>
      </w:r>
    </w:p>
    <w:p>
      <w:pPr>
        <w:spacing w:line="460" w:lineRule="exact"/>
        <w:rPr>
          <w:b/>
          <w:bCs/>
          <w:color w:val="000000" w:themeColor="text1"/>
          <w:sz w:val="44"/>
          <w:szCs w:val="44"/>
        </w:rPr>
      </w:pPr>
    </w:p>
    <w:p>
      <w:pPr>
        <w:spacing w:line="460" w:lineRule="exact"/>
        <w:jc w:val="center"/>
        <w:rPr>
          <w:b/>
          <w:bCs/>
          <w:color w:val="000000" w:themeColor="text1"/>
          <w:sz w:val="44"/>
          <w:szCs w:val="44"/>
        </w:rPr>
      </w:pPr>
      <w:r>
        <w:rPr>
          <w:b/>
          <w:bCs/>
          <w:color w:val="000000" w:themeColor="text1"/>
          <w:sz w:val="44"/>
          <w:szCs w:val="44"/>
        </w:rPr>
        <w:t>声  明</w:t>
      </w:r>
    </w:p>
    <w:p>
      <w:pPr>
        <w:spacing w:line="460" w:lineRule="exact"/>
        <w:ind w:firstLine="480" w:firstLineChars="200"/>
        <w:rPr>
          <w:color w:val="000000" w:themeColor="text1"/>
          <w:sz w:val="24"/>
          <w:szCs w:val="24"/>
        </w:rPr>
      </w:pPr>
      <w:r>
        <w:rPr>
          <w:color w:val="000000" w:themeColor="text1"/>
          <w:sz w:val="24"/>
          <w:szCs w:val="24"/>
        </w:rPr>
        <w:t>我公司郑重声明：参加本次政府采购活动前 3 年内，我公司在经营活动中没有因违法经营受到刑事处罚或者责令停产停业、吊销许可证或者执照、较大数额罚款等行政处罚。</w:t>
      </w:r>
    </w:p>
    <w:p>
      <w:pPr>
        <w:pStyle w:val="25"/>
      </w:pPr>
    </w:p>
    <w:p>
      <w:pPr>
        <w:pStyle w:val="25"/>
      </w:pPr>
    </w:p>
    <w:p>
      <w:pPr>
        <w:spacing w:line="460" w:lineRule="exact"/>
        <w:rPr>
          <w:color w:val="000000" w:themeColor="text1"/>
          <w:sz w:val="24"/>
          <w:szCs w:val="24"/>
        </w:rPr>
      </w:pPr>
      <w:r>
        <w:rPr>
          <w:color w:val="000000" w:themeColor="text1"/>
          <w:sz w:val="24"/>
          <w:szCs w:val="24"/>
        </w:rPr>
        <w:t xml:space="preserve">                                      供应商名称（公章）：</w:t>
      </w:r>
    </w:p>
    <w:p>
      <w:pPr>
        <w:spacing w:line="460" w:lineRule="exact"/>
        <w:rPr>
          <w:color w:val="000000" w:themeColor="text1"/>
          <w:sz w:val="24"/>
          <w:szCs w:val="24"/>
        </w:rPr>
      </w:pPr>
      <w:r>
        <w:rPr>
          <w:color w:val="000000" w:themeColor="text1"/>
          <w:sz w:val="24"/>
          <w:szCs w:val="24"/>
        </w:rPr>
        <w:t xml:space="preserve">                                      授权代表签字：</w:t>
      </w:r>
      <w:r>
        <w:rPr>
          <w:color w:val="000000" w:themeColor="text1"/>
          <w:sz w:val="24"/>
          <w:szCs w:val="24"/>
          <w:u w:val="single"/>
        </w:rPr>
        <w:t>_________________</w:t>
      </w:r>
    </w:p>
    <w:p>
      <w:pPr>
        <w:spacing w:line="460" w:lineRule="exact"/>
        <w:rPr>
          <w:color w:val="000000" w:themeColor="text1"/>
          <w:sz w:val="24"/>
          <w:szCs w:val="24"/>
        </w:rPr>
      </w:pPr>
      <w:r>
        <w:rPr>
          <w:color w:val="000000" w:themeColor="text1"/>
          <w:sz w:val="24"/>
          <w:szCs w:val="24"/>
        </w:rPr>
        <w:t xml:space="preserve">                                      日期：</w:t>
      </w:r>
      <w:r>
        <w:rPr>
          <w:color w:val="000000" w:themeColor="text1"/>
          <w:sz w:val="24"/>
          <w:szCs w:val="24"/>
          <w:u w:val="single"/>
        </w:rPr>
        <w:t>______</w:t>
      </w:r>
      <w:r>
        <w:rPr>
          <w:color w:val="000000" w:themeColor="text1"/>
          <w:sz w:val="24"/>
          <w:szCs w:val="24"/>
        </w:rPr>
        <w:t>年月日</w:t>
      </w:r>
    </w:p>
    <w:p>
      <w:pPr>
        <w:spacing w:line="460" w:lineRule="exact"/>
        <w:rPr>
          <w:color w:val="000000" w:themeColor="text1"/>
          <w:sz w:val="24"/>
          <w:szCs w:val="24"/>
        </w:rPr>
      </w:pPr>
    </w:p>
    <w:p>
      <w:pPr>
        <w:spacing w:line="460" w:lineRule="exact"/>
        <w:rPr>
          <w:color w:val="000000" w:themeColor="text1"/>
          <w:sz w:val="24"/>
          <w:szCs w:val="24"/>
        </w:rPr>
      </w:pPr>
    </w:p>
    <w:p>
      <w:pPr>
        <w:pStyle w:val="25"/>
      </w:pPr>
      <w:r>
        <w:br w:type="page"/>
      </w:r>
    </w:p>
    <w:p>
      <w:pPr>
        <w:spacing w:line="480" w:lineRule="exact"/>
        <w:jc w:val="center"/>
        <w:rPr>
          <w:b/>
          <w:bCs/>
          <w:color w:val="000000" w:themeColor="text1"/>
          <w:sz w:val="32"/>
          <w:szCs w:val="32"/>
        </w:rPr>
      </w:pPr>
      <w:r>
        <w:rPr>
          <w:b/>
          <w:bCs/>
          <w:color w:val="000000" w:themeColor="text1"/>
          <w:sz w:val="32"/>
          <w:szCs w:val="32"/>
        </w:rPr>
        <w:t>法人授权书</w:t>
      </w:r>
    </w:p>
    <w:p>
      <w:pPr>
        <w:pStyle w:val="45"/>
        <w:spacing w:line="600" w:lineRule="auto"/>
        <w:ind w:firstLine="480"/>
        <w:rPr>
          <w:color w:val="000000" w:themeColor="text1"/>
          <w:sz w:val="24"/>
          <w:szCs w:val="24"/>
        </w:rPr>
      </w:pPr>
    </w:p>
    <w:p>
      <w:pPr>
        <w:pStyle w:val="45"/>
        <w:spacing w:line="600" w:lineRule="auto"/>
        <w:ind w:firstLine="480"/>
        <w:rPr>
          <w:color w:val="000000" w:themeColor="text1"/>
          <w:sz w:val="24"/>
          <w:szCs w:val="24"/>
        </w:rPr>
      </w:pPr>
      <w:r>
        <w:rPr>
          <w:color w:val="000000" w:themeColor="text1"/>
          <w:sz w:val="24"/>
          <w:szCs w:val="24"/>
        </w:rPr>
        <w:t>本授权书声明：____________（供应商名称）授权________________（被授权人的姓名）为我方就</w:t>
      </w:r>
      <w:r>
        <w:rPr>
          <w:rFonts w:hint="eastAsia"/>
          <w:color w:val="000000" w:themeColor="text1"/>
          <w:sz w:val="24"/>
          <w:szCs w:val="24"/>
          <w:u w:val="single"/>
        </w:rPr>
        <w:t>ycyz2022hw001</w:t>
      </w:r>
      <w:r>
        <w:rPr>
          <w:color w:val="000000" w:themeColor="text1"/>
          <w:sz w:val="24"/>
          <w:szCs w:val="24"/>
        </w:rPr>
        <w:t>号</w:t>
      </w:r>
      <w:r>
        <w:rPr>
          <w:color w:val="000000" w:themeColor="text1"/>
          <w:sz w:val="24"/>
          <w:szCs w:val="24"/>
          <w:u w:val="single"/>
        </w:rPr>
        <w:t>盐城幼儿师范高等专科学校2022年纸质图书采购项目</w:t>
      </w:r>
      <w:r>
        <w:rPr>
          <w:color w:val="000000" w:themeColor="text1"/>
          <w:sz w:val="24"/>
          <w:szCs w:val="24"/>
        </w:rPr>
        <w:t>采购活动的合法代理人，以本公司名义全权处理一切与该项目采购有关的事务。</w:t>
      </w:r>
    </w:p>
    <w:p>
      <w:pPr>
        <w:pStyle w:val="45"/>
        <w:spacing w:line="600" w:lineRule="auto"/>
        <w:ind w:firstLine="480"/>
        <w:rPr>
          <w:color w:val="000000" w:themeColor="text1"/>
          <w:sz w:val="24"/>
          <w:szCs w:val="24"/>
        </w:rPr>
      </w:pPr>
      <w:r>
        <w:rPr>
          <w:color w:val="000000" w:themeColor="text1"/>
          <w:sz w:val="24"/>
          <w:szCs w:val="24"/>
        </w:rPr>
        <w:t>本授权书于______年____月____日起生效，特此声明。</w:t>
      </w:r>
    </w:p>
    <w:p>
      <w:pPr>
        <w:pStyle w:val="45"/>
        <w:spacing w:line="600" w:lineRule="auto"/>
        <w:ind w:firstLine="0" w:firstLineChars="0"/>
        <w:rPr>
          <w:color w:val="000000" w:themeColor="text1"/>
          <w:sz w:val="24"/>
          <w:szCs w:val="24"/>
        </w:rPr>
      </w:pPr>
      <w:r>
        <w:rPr>
          <w:color w:val="000000" w:themeColor="text1"/>
          <w:sz w:val="24"/>
          <w:szCs w:val="24"/>
        </w:rPr>
        <w:t xml:space="preserve">          代理人（被授权人）：_______________________</w:t>
      </w:r>
    </w:p>
    <w:p>
      <w:pPr>
        <w:pStyle w:val="45"/>
        <w:spacing w:line="600" w:lineRule="auto"/>
        <w:ind w:firstLine="0" w:firstLineChars="0"/>
        <w:rPr>
          <w:color w:val="000000" w:themeColor="text1"/>
          <w:sz w:val="24"/>
          <w:szCs w:val="24"/>
        </w:rPr>
      </w:pPr>
      <w:r>
        <w:rPr>
          <w:color w:val="000000" w:themeColor="text1"/>
          <w:sz w:val="24"/>
          <w:szCs w:val="24"/>
        </w:rPr>
        <w:t xml:space="preserve">          单位名称：_____________________________________</w:t>
      </w:r>
    </w:p>
    <w:p>
      <w:pPr>
        <w:pStyle w:val="45"/>
        <w:spacing w:line="600" w:lineRule="auto"/>
        <w:ind w:firstLine="0" w:firstLineChars="0"/>
        <w:rPr>
          <w:color w:val="000000" w:themeColor="text1"/>
          <w:sz w:val="24"/>
          <w:szCs w:val="24"/>
        </w:rPr>
      </w:pPr>
      <w:r>
        <w:rPr>
          <w:color w:val="000000" w:themeColor="text1"/>
          <w:sz w:val="24"/>
          <w:szCs w:val="24"/>
        </w:rPr>
        <w:t xml:space="preserve">          授权单位盖章：_________________________________</w:t>
      </w:r>
    </w:p>
    <w:p>
      <w:pPr>
        <w:pStyle w:val="45"/>
        <w:spacing w:line="600" w:lineRule="auto"/>
        <w:ind w:firstLine="480"/>
        <w:rPr>
          <w:color w:val="000000" w:themeColor="text1"/>
          <w:sz w:val="24"/>
          <w:szCs w:val="24"/>
        </w:rPr>
      </w:pPr>
      <w:r>
        <w:rPr>
          <w:color w:val="000000" w:themeColor="text1"/>
          <w:sz w:val="24"/>
          <w:szCs w:val="24"/>
        </w:rPr>
        <w:t xml:space="preserve">      单位名称：_____________________________________</w:t>
      </w:r>
    </w:p>
    <w:p>
      <w:pPr>
        <w:pStyle w:val="45"/>
        <w:spacing w:line="600" w:lineRule="auto"/>
        <w:ind w:firstLine="480"/>
        <w:rPr>
          <w:color w:val="000000" w:themeColor="text1"/>
          <w:sz w:val="24"/>
          <w:szCs w:val="24"/>
          <w:u w:val="single"/>
        </w:rPr>
      </w:pPr>
      <w:r>
        <w:rPr>
          <w:color w:val="000000" w:themeColor="text1"/>
          <w:sz w:val="24"/>
          <w:szCs w:val="24"/>
        </w:rPr>
        <w:t xml:space="preserve">      地址：</w:t>
      </w:r>
    </w:p>
    <w:p>
      <w:pPr>
        <w:pStyle w:val="45"/>
        <w:spacing w:line="600" w:lineRule="auto"/>
        <w:ind w:firstLine="480"/>
        <w:rPr>
          <w:color w:val="000000" w:themeColor="text1"/>
          <w:sz w:val="24"/>
          <w:szCs w:val="24"/>
        </w:rPr>
      </w:pPr>
      <w:r>
        <w:rPr>
          <w:color w:val="000000" w:themeColor="text1"/>
          <w:sz w:val="24"/>
          <w:szCs w:val="24"/>
        </w:rPr>
        <w:t xml:space="preserve">      日期：                    </w:t>
      </w:r>
    </w:p>
    <w:p>
      <w:pPr>
        <w:rPr>
          <w:color w:val="000000" w:themeColor="text1"/>
        </w:rPr>
      </w:pPr>
    </w:p>
    <w:p>
      <w:pPr>
        <w:pStyle w:val="6"/>
        <w:rPr>
          <w:color w:val="000000" w:themeColor="text1"/>
        </w:rPr>
      </w:pPr>
    </w:p>
    <w:p>
      <w:pPr>
        <w:pStyle w:val="6"/>
        <w:rPr>
          <w:color w:val="000000" w:themeColor="text1"/>
        </w:rPr>
      </w:pPr>
    </w:p>
    <w:p>
      <w:pPr>
        <w:pStyle w:val="6"/>
        <w:rPr>
          <w:color w:val="000000" w:themeColor="text1"/>
        </w:rPr>
      </w:pPr>
    </w:p>
    <w:p>
      <w:pPr>
        <w:pStyle w:val="6"/>
        <w:rPr>
          <w:color w:val="000000" w:themeColor="text1"/>
        </w:rPr>
      </w:pPr>
    </w:p>
    <w:p>
      <w:pPr>
        <w:pStyle w:val="6"/>
        <w:rPr>
          <w:color w:val="000000" w:themeColor="text1"/>
        </w:rPr>
      </w:pPr>
    </w:p>
    <w:p>
      <w:pPr>
        <w:pStyle w:val="6"/>
        <w:rPr>
          <w:color w:val="000000" w:themeColor="text1"/>
        </w:rPr>
      </w:pPr>
    </w:p>
    <w:p>
      <w:pPr>
        <w:pStyle w:val="6"/>
        <w:rPr>
          <w:color w:val="000000" w:themeColor="text1"/>
        </w:rPr>
      </w:pPr>
    </w:p>
    <w:p>
      <w:pPr>
        <w:pStyle w:val="6"/>
        <w:rPr>
          <w:color w:val="000000" w:themeColor="text1"/>
        </w:rPr>
      </w:pPr>
    </w:p>
    <w:p>
      <w:pPr>
        <w:pStyle w:val="6"/>
        <w:rPr>
          <w:color w:val="000000" w:themeColor="text1"/>
        </w:rPr>
      </w:pPr>
    </w:p>
    <w:p>
      <w:pPr>
        <w:spacing w:line="560" w:lineRule="exact"/>
        <w:jc w:val="center"/>
        <w:rPr>
          <w:rFonts w:hint="eastAsia" w:ascii="宋体" w:hAnsi="宋体"/>
          <w:b/>
          <w:bCs/>
          <w:sz w:val="32"/>
          <w:szCs w:val="32"/>
        </w:rPr>
      </w:pPr>
      <w:r>
        <w:rPr>
          <w:rFonts w:hint="eastAsia" w:ascii="宋体" w:hAnsi="宋体"/>
          <w:b/>
          <w:bCs/>
          <w:sz w:val="32"/>
          <w:szCs w:val="32"/>
        </w:rPr>
        <w:t>中小企业声明函（货物）</w:t>
      </w:r>
    </w:p>
    <w:p>
      <w:pPr>
        <w:spacing w:line="560" w:lineRule="exact"/>
        <w:jc w:val="center"/>
        <w:rPr>
          <w:rFonts w:hint="eastAsia" w:ascii="宋体" w:hAnsi="宋体"/>
          <w:b/>
          <w:bCs/>
          <w:sz w:val="32"/>
          <w:szCs w:val="32"/>
        </w:rPr>
      </w:pPr>
    </w:p>
    <w:p>
      <w:pPr>
        <w:widowControl/>
        <w:spacing w:line="360" w:lineRule="auto"/>
        <w:ind w:firstLine="480" w:firstLineChars="200"/>
        <w:jc w:val="left"/>
        <w:rPr>
          <w:rFonts w:hint="eastAsia" w:ascii="宋体" w:hAnsi="宋体" w:cs="宋体"/>
          <w:sz w:val="24"/>
        </w:rPr>
      </w:pPr>
      <w:r>
        <w:rPr>
          <w:rFonts w:hint="eastAsia" w:ascii="宋体" w:hAnsi="宋体" w:cs="宋体"/>
          <w:sz w:val="24"/>
        </w:rPr>
        <w:t>本公司（联合体）郑重声明，根据《政府采购促进中小企业发展管理办法》（财库﹝2020﹞46 号）的规定，本公司（联合体）参加</w:t>
      </w:r>
      <w:r>
        <w:rPr>
          <w:rFonts w:hint="eastAsia" w:ascii="宋体" w:hAnsi="宋体" w:cs="宋体"/>
          <w:i/>
          <w:iCs/>
          <w:sz w:val="24"/>
          <w:u w:val="single"/>
        </w:rPr>
        <w:t>（单位名称）</w:t>
      </w:r>
      <w:r>
        <w:rPr>
          <w:rFonts w:hint="eastAsia" w:ascii="宋体" w:hAnsi="宋体" w:cs="宋体"/>
          <w:sz w:val="24"/>
        </w:rPr>
        <w:t>的</w:t>
      </w:r>
      <w:r>
        <w:rPr>
          <w:rFonts w:hint="eastAsia" w:ascii="宋体" w:hAnsi="宋体" w:cs="宋体"/>
          <w:i/>
          <w:iCs/>
          <w:sz w:val="24"/>
          <w:u w:val="single"/>
        </w:rPr>
        <w:t>（项目名称）</w:t>
      </w:r>
      <w:r>
        <w:rPr>
          <w:rFonts w:hint="eastAsia" w:ascii="宋体" w:hAnsi="宋体" w:cs="宋体"/>
          <w:sz w:val="24"/>
        </w:rPr>
        <w:t>采购活动，提供的货物全部由符合政策要求的中小企业制造。相关企业（含联合体中的中小企业、签订分包意向协议的中小企业）的具体情况如下：</w:t>
      </w:r>
    </w:p>
    <w:p>
      <w:pPr>
        <w:widowControl/>
        <w:spacing w:line="360" w:lineRule="auto"/>
        <w:ind w:firstLine="480" w:firstLineChars="200"/>
        <w:jc w:val="left"/>
        <w:rPr>
          <w:rFonts w:hint="eastAsia" w:ascii="宋体" w:hAnsi="宋体" w:cs="宋体"/>
          <w:sz w:val="24"/>
        </w:rPr>
      </w:pPr>
      <w:r>
        <w:rPr>
          <w:rFonts w:hint="eastAsia" w:ascii="宋体" w:hAnsi="宋体" w:cs="宋体"/>
          <w:sz w:val="24"/>
        </w:rPr>
        <w:t>1.</w:t>
      </w:r>
      <w:r>
        <w:rPr>
          <w:rFonts w:hint="eastAsia" w:ascii="宋体" w:hAnsi="宋体" w:cs="宋体"/>
          <w:i/>
          <w:iCs/>
          <w:sz w:val="24"/>
          <w:u w:val="single"/>
        </w:rPr>
        <w:t xml:space="preserve">（标的名称） </w:t>
      </w:r>
      <w:r>
        <w:rPr>
          <w:rFonts w:hint="eastAsia" w:ascii="宋体" w:hAnsi="宋体" w:cs="宋体"/>
          <w:sz w:val="24"/>
        </w:rPr>
        <w:t>，属于</w:t>
      </w:r>
      <w:r>
        <w:rPr>
          <w:rFonts w:hint="eastAsia" w:ascii="宋体" w:hAnsi="宋体" w:cs="宋体"/>
          <w:i/>
          <w:iCs/>
          <w:sz w:val="24"/>
          <w:u w:val="single"/>
        </w:rPr>
        <w:t>（采购文件中明确的所属行业）</w:t>
      </w:r>
      <w:r>
        <w:rPr>
          <w:rFonts w:hint="eastAsia" w:ascii="宋体" w:hAnsi="宋体" w:cs="宋体"/>
          <w:sz w:val="24"/>
        </w:rPr>
        <w:t>行业；制造商为</w:t>
      </w:r>
      <w:r>
        <w:rPr>
          <w:rFonts w:hint="eastAsia" w:ascii="宋体" w:hAnsi="宋体" w:cs="宋体"/>
          <w:i/>
          <w:iCs/>
          <w:sz w:val="24"/>
          <w:u w:val="single"/>
        </w:rPr>
        <w:t>（企业名称）</w:t>
      </w:r>
      <w:r>
        <w:rPr>
          <w:rFonts w:hint="eastAsia" w:ascii="宋体" w:hAnsi="宋体" w:cs="宋体"/>
          <w:sz w:val="24"/>
        </w:rPr>
        <w:t>，从业人员</w:t>
      </w:r>
      <w:r>
        <w:rPr>
          <w:rFonts w:hint="eastAsia" w:ascii="宋体" w:hAnsi="宋体" w:cs="宋体"/>
          <w:i/>
          <w:iCs/>
          <w:sz w:val="24"/>
          <w:u w:val="single"/>
        </w:rPr>
        <w:t xml:space="preserve">        </w:t>
      </w:r>
      <w:r>
        <w:rPr>
          <w:rFonts w:hint="eastAsia" w:ascii="宋体" w:hAnsi="宋体" w:cs="宋体"/>
          <w:sz w:val="24"/>
        </w:rPr>
        <w:t>人，营业收入为</w:t>
      </w:r>
      <w:r>
        <w:rPr>
          <w:rFonts w:hint="eastAsia" w:ascii="宋体" w:hAnsi="宋体" w:cs="宋体"/>
          <w:i/>
          <w:iCs/>
          <w:sz w:val="24"/>
          <w:u w:val="single"/>
        </w:rPr>
        <w:t xml:space="preserve">        </w:t>
      </w:r>
      <w:r>
        <w:rPr>
          <w:rFonts w:hint="eastAsia" w:ascii="宋体" w:hAnsi="宋体" w:cs="宋体"/>
          <w:sz w:val="24"/>
        </w:rPr>
        <w:t>万元，资产总额为</w:t>
      </w:r>
      <w:r>
        <w:rPr>
          <w:rFonts w:hint="eastAsia" w:ascii="宋体" w:hAnsi="宋体" w:cs="宋体"/>
          <w:i/>
          <w:iCs/>
          <w:sz w:val="24"/>
          <w:u w:val="single"/>
        </w:rPr>
        <w:t xml:space="preserve">        </w:t>
      </w:r>
      <w:r>
        <w:rPr>
          <w:rFonts w:hint="eastAsia" w:ascii="宋体" w:hAnsi="宋体" w:cs="宋体"/>
          <w:sz w:val="24"/>
        </w:rPr>
        <w:t>万元，属于</w:t>
      </w:r>
      <w:r>
        <w:rPr>
          <w:rFonts w:hint="eastAsia" w:ascii="宋体" w:hAnsi="宋体" w:cs="宋体"/>
          <w:i/>
          <w:iCs/>
          <w:sz w:val="24"/>
          <w:u w:val="single"/>
        </w:rPr>
        <w:t>（中型企业、小型企业、微型企业）</w:t>
      </w:r>
      <w:r>
        <w:rPr>
          <w:rFonts w:hint="eastAsia" w:ascii="宋体" w:hAnsi="宋体" w:cs="宋体"/>
          <w:sz w:val="24"/>
        </w:rPr>
        <w:t>；</w:t>
      </w:r>
    </w:p>
    <w:p>
      <w:pPr>
        <w:widowControl/>
        <w:numPr>
          <w:ilvl w:val="0"/>
          <w:numId w:val="1"/>
        </w:numPr>
        <w:spacing w:line="360" w:lineRule="auto"/>
        <w:ind w:firstLine="480" w:firstLineChars="200"/>
        <w:jc w:val="left"/>
        <w:rPr>
          <w:rFonts w:hint="eastAsia" w:ascii="宋体" w:hAnsi="宋体" w:cs="宋体"/>
          <w:sz w:val="24"/>
        </w:rPr>
      </w:pPr>
      <w:r>
        <w:rPr>
          <w:rFonts w:hint="eastAsia" w:ascii="宋体" w:hAnsi="宋体" w:cs="宋体"/>
          <w:i/>
          <w:iCs/>
          <w:sz w:val="24"/>
          <w:u w:val="single"/>
        </w:rPr>
        <w:t xml:space="preserve">（标的名称） </w:t>
      </w:r>
      <w:r>
        <w:rPr>
          <w:rFonts w:hint="eastAsia" w:ascii="宋体" w:hAnsi="宋体" w:cs="宋体"/>
          <w:sz w:val="24"/>
        </w:rPr>
        <w:t>，属于</w:t>
      </w:r>
      <w:r>
        <w:rPr>
          <w:rFonts w:hint="eastAsia" w:ascii="宋体" w:hAnsi="宋体" w:cs="宋体"/>
          <w:i/>
          <w:iCs/>
          <w:sz w:val="24"/>
          <w:u w:val="single"/>
        </w:rPr>
        <w:t>（采购文件中明确的所属行业）</w:t>
      </w:r>
      <w:r>
        <w:rPr>
          <w:rFonts w:hint="eastAsia" w:ascii="宋体" w:hAnsi="宋体" w:cs="宋体"/>
          <w:sz w:val="24"/>
        </w:rPr>
        <w:t>行业；制造商为</w:t>
      </w:r>
      <w:r>
        <w:rPr>
          <w:rFonts w:hint="eastAsia" w:ascii="宋体" w:hAnsi="宋体" w:cs="宋体"/>
          <w:i/>
          <w:iCs/>
          <w:sz w:val="24"/>
          <w:u w:val="single"/>
        </w:rPr>
        <w:t>（企业名称）</w:t>
      </w:r>
      <w:r>
        <w:rPr>
          <w:rFonts w:hint="eastAsia" w:ascii="宋体" w:hAnsi="宋体" w:cs="宋体"/>
          <w:sz w:val="24"/>
        </w:rPr>
        <w:t>，从业人员</w:t>
      </w:r>
      <w:r>
        <w:rPr>
          <w:rFonts w:hint="eastAsia" w:ascii="宋体" w:hAnsi="宋体" w:cs="宋体"/>
          <w:i/>
          <w:iCs/>
          <w:sz w:val="24"/>
          <w:u w:val="single"/>
        </w:rPr>
        <w:t xml:space="preserve">        </w:t>
      </w:r>
      <w:r>
        <w:rPr>
          <w:rFonts w:hint="eastAsia" w:ascii="宋体" w:hAnsi="宋体" w:cs="宋体"/>
          <w:sz w:val="24"/>
        </w:rPr>
        <w:t>人，营业收入为</w:t>
      </w:r>
      <w:r>
        <w:rPr>
          <w:rFonts w:hint="eastAsia" w:ascii="宋体" w:hAnsi="宋体" w:cs="宋体"/>
          <w:i/>
          <w:iCs/>
          <w:sz w:val="24"/>
          <w:u w:val="single"/>
        </w:rPr>
        <w:t xml:space="preserve">        </w:t>
      </w:r>
      <w:r>
        <w:rPr>
          <w:rFonts w:hint="eastAsia" w:ascii="宋体" w:hAnsi="宋体" w:cs="宋体"/>
          <w:sz w:val="24"/>
        </w:rPr>
        <w:t>万元，资产总额为</w:t>
      </w:r>
      <w:r>
        <w:rPr>
          <w:rFonts w:hint="eastAsia" w:ascii="宋体" w:hAnsi="宋体" w:cs="宋体"/>
          <w:i/>
          <w:iCs/>
          <w:sz w:val="24"/>
          <w:u w:val="single"/>
        </w:rPr>
        <w:t xml:space="preserve">        </w:t>
      </w:r>
      <w:r>
        <w:rPr>
          <w:rFonts w:hint="eastAsia" w:ascii="宋体" w:hAnsi="宋体" w:cs="宋体"/>
          <w:sz w:val="24"/>
        </w:rPr>
        <w:t>万元，属于</w:t>
      </w:r>
      <w:r>
        <w:rPr>
          <w:rFonts w:hint="eastAsia" w:ascii="宋体" w:hAnsi="宋体" w:cs="宋体"/>
          <w:i/>
          <w:iCs/>
          <w:sz w:val="24"/>
          <w:u w:val="single"/>
        </w:rPr>
        <w:t>（中型企业、小型企业、微型企业）</w:t>
      </w:r>
      <w:r>
        <w:rPr>
          <w:rFonts w:hint="eastAsia" w:ascii="宋体" w:hAnsi="宋体" w:cs="宋体"/>
          <w:sz w:val="24"/>
        </w:rPr>
        <w:t>；</w:t>
      </w:r>
    </w:p>
    <w:p>
      <w:pPr>
        <w:widowControl/>
        <w:spacing w:line="360" w:lineRule="auto"/>
        <w:ind w:firstLine="480" w:firstLineChars="200"/>
        <w:jc w:val="left"/>
        <w:rPr>
          <w:rFonts w:hint="eastAsia" w:ascii="宋体" w:hAnsi="宋体" w:cs="宋体"/>
          <w:sz w:val="24"/>
        </w:rPr>
      </w:pPr>
      <w:r>
        <w:rPr>
          <w:rFonts w:hint="eastAsia" w:ascii="宋体" w:hAnsi="宋体" w:cs="宋体"/>
          <w:sz w:val="24"/>
        </w:rPr>
        <w:t>……</w:t>
      </w:r>
    </w:p>
    <w:p>
      <w:pPr>
        <w:widowControl/>
        <w:spacing w:line="360" w:lineRule="auto"/>
        <w:ind w:firstLine="480" w:firstLineChars="200"/>
        <w:jc w:val="left"/>
        <w:rPr>
          <w:rFonts w:hint="eastAsia" w:ascii="宋体" w:hAnsi="宋体" w:cs="宋体"/>
          <w:sz w:val="24"/>
        </w:rPr>
      </w:pPr>
      <w:r>
        <w:rPr>
          <w:rFonts w:hint="eastAsia" w:ascii="宋体" w:hAnsi="宋体" w:cs="宋体"/>
          <w:sz w:val="24"/>
        </w:rPr>
        <w:t>以上企业，不属于大企业的分支机构，不存在控股股东为大企业的情形，也不存在与大企业的负责人为同一人的情形。</w:t>
      </w:r>
    </w:p>
    <w:p>
      <w:pPr>
        <w:widowControl/>
        <w:spacing w:line="360" w:lineRule="auto"/>
        <w:ind w:firstLine="480" w:firstLineChars="200"/>
        <w:jc w:val="left"/>
        <w:rPr>
          <w:rFonts w:hint="eastAsia" w:ascii="宋体" w:hAnsi="宋体" w:cs="宋体"/>
          <w:sz w:val="24"/>
        </w:rPr>
      </w:pPr>
      <w:r>
        <w:rPr>
          <w:rFonts w:hint="eastAsia" w:ascii="宋体" w:hAnsi="宋体" w:cs="宋体"/>
          <w:sz w:val="24"/>
        </w:rPr>
        <w:t>本企业对上述声明内容的真实性负责。如有虚假，将依法承担相应责任。</w:t>
      </w:r>
    </w:p>
    <w:p>
      <w:pPr>
        <w:widowControl/>
        <w:spacing w:line="360" w:lineRule="auto"/>
        <w:ind w:firstLine="4080" w:firstLineChars="1700"/>
        <w:jc w:val="left"/>
        <w:rPr>
          <w:rFonts w:hint="eastAsia" w:ascii="宋体" w:hAnsi="宋体" w:cs="宋体"/>
          <w:sz w:val="24"/>
        </w:rPr>
      </w:pPr>
      <w:r>
        <w:rPr>
          <w:rFonts w:hint="eastAsia" w:ascii="宋体" w:hAnsi="宋体" w:cs="宋体"/>
          <w:sz w:val="24"/>
        </w:rPr>
        <w:t>企业名称（盖章）：</w:t>
      </w:r>
    </w:p>
    <w:p>
      <w:pPr>
        <w:widowControl/>
        <w:spacing w:line="360" w:lineRule="auto"/>
        <w:ind w:firstLine="4080" w:firstLineChars="1700"/>
        <w:jc w:val="left"/>
        <w:rPr>
          <w:rFonts w:hint="eastAsia" w:ascii="宋体" w:hAnsi="宋体" w:cs="宋体"/>
          <w:sz w:val="24"/>
        </w:rPr>
      </w:pPr>
      <w:r>
        <w:rPr>
          <w:rFonts w:hint="eastAsia" w:ascii="宋体" w:hAnsi="宋体" w:cs="宋体"/>
          <w:sz w:val="24"/>
        </w:rPr>
        <w:t>日期：</w:t>
      </w:r>
    </w:p>
    <w:p>
      <w:pPr>
        <w:spacing w:line="360" w:lineRule="auto"/>
        <w:jc w:val="center"/>
        <w:rPr>
          <w:rFonts w:hint="eastAsia" w:ascii="宋体" w:hAnsi="宋体"/>
          <w:b/>
          <w:bCs/>
          <w:sz w:val="32"/>
          <w:szCs w:val="32"/>
        </w:rPr>
      </w:pPr>
      <w:r>
        <w:rPr>
          <w:rFonts w:hint="eastAsia" w:ascii="宋体" w:hAnsi="宋体"/>
          <w:b/>
          <w:bCs/>
          <w:szCs w:val="21"/>
        </w:rPr>
        <w:t>从业人员、营业收入、资产总额填报上一年度数据，无上一年度数据的新成立企业可不填报。</w:t>
      </w:r>
    </w:p>
    <w:p>
      <w:pPr>
        <w:spacing w:line="460" w:lineRule="exact"/>
        <w:rPr>
          <w:color w:val="000000" w:themeColor="text1"/>
          <w:sz w:val="24"/>
          <w:szCs w:val="24"/>
        </w:rPr>
      </w:pPr>
    </w:p>
    <w:p>
      <w:pPr>
        <w:snapToGrid w:val="0"/>
        <w:spacing w:line="360" w:lineRule="auto"/>
        <w:ind w:firstLine="482" w:firstLineChars="200"/>
        <w:jc w:val="left"/>
        <w:rPr>
          <w:rFonts w:hint="eastAsia" w:ascii="宋体" w:hAnsi="宋体"/>
          <w:b/>
          <w:bCs/>
          <w:sz w:val="24"/>
          <w:szCs w:val="24"/>
          <w:lang w:eastAsia="zh-Hans"/>
        </w:rPr>
      </w:pPr>
    </w:p>
    <w:p>
      <w:pPr>
        <w:pStyle w:val="2"/>
        <w:rPr>
          <w:rFonts w:hint="eastAsia"/>
          <w:lang w:eastAsia="zh-Hans"/>
        </w:rPr>
      </w:pPr>
    </w:p>
    <w:p>
      <w:pPr>
        <w:snapToGrid w:val="0"/>
        <w:spacing w:line="360" w:lineRule="auto"/>
        <w:ind w:firstLine="482" w:firstLineChars="200"/>
        <w:jc w:val="left"/>
        <w:rPr>
          <w:rFonts w:hint="eastAsia" w:ascii="宋体" w:hAnsi="宋体"/>
          <w:b/>
          <w:bCs/>
          <w:sz w:val="24"/>
          <w:szCs w:val="24"/>
          <w:lang w:eastAsia="zh-Hans"/>
        </w:rPr>
      </w:pPr>
      <w:r>
        <w:rPr>
          <w:rFonts w:hint="eastAsia" w:ascii="宋体" w:hAnsi="宋体"/>
          <w:b/>
          <w:bCs/>
          <w:sz w:val="24"/>
          <w:szCs w:val="24"/>
          <w:lang w:eastAsia="zh-Hans"/>
        </w:rPr>
        <w:t>注：采购标的的所属行业为</w:t>
      </w:r>
      <w:r>
        <w:rPr>
          <w:rFonts w:hint="eastAsia" w:ascii="宋体" w:hAnsi="宋体"/>
          <w:b/>
          <w:bCs/>
          <w:sz w:val="24"/>
          <w:szCs w:val="24"/>
          <w:u w:val="single"/>
          <w:lang w:eastAsia="zh-CN"/>
        </w:rPr>
        <w:t>文化、体育和娱乐业</w:t>
      </w:r>
      <w:r>
        <w:rPr>
          <w:rFonts w:hint="eastAsia" w:ascii="宋体" w:hAnsi="宋体"/>
          <w:b/>
          <w:bCs/>
          <w:sz w:val="24"/>
          <w:szCs w:val="24"/>
          <w:u w:val="single"/>
          <w:lang w:eastAsia="zh-Hans"/>
        </w:rPr>
        <w:t xml:space="preserve"> </w:t>
      </w:r>
      <w:r>
        <w:rPr>
          <w:rFonts w:hint="eastAsia" w:ascii="宋体" w:hAnsi="宋体"/>
          <w:b/>
          <w:bCs/>
          <w:sz w:val="24"/>
          <w:szCs w:val="24"/>
          <w:lang w:eastAsia="zh-Hans"/>
        </w:rPr>
        <w:t>，根据《工业和信息化部、国家统计局、国家发展和改革委员会、财政部关于印发中小企业划型标准规定的通知》（工信部联企业[2011]300号）规定的划分标准填写；</w:t>
      </w:r>
    </w:p>
    <w:p>
      <w:pPr>
        <w:widowControl/>
        <w:jc w:val="left"/>
        <w:rPr>
          <w:rFonts w:eastAsia="黑体"/>
          <w:color w:val="000000" w:themeColor="text1"/>
          <w:sz w:val="32"/>
          <w:szCs w:val="32"/>
        </w:rPr>
      </w:pPr>
    </w:p>
    <w:p>
      <w:pPr>
        <w:pStyle w:val="9"/>
        <w:rPr>
          <w:rFonts w:eastAsia="黑体"/>
          <w:color w:val="000000" w:themeColor="text1"/>
          <w:sz w:val="32"/>
          <w:szCs w:val="32"/>
        </w:rPr>
      </w:pPr>
    </w:p>
    <w:p>
      <w:pPr>
        <w:snapToGrid w:val="0"/>
        <w:spacing w:before="50" w:after="50"/>
        <w:jc w:val="center"/>
        <w:rPr>
          <w:rFonts w:eastAsia="黑体"/>
          <w:color w:val="000000" w:themeColor="text1"/>
          <w:sz w:val="32"/>
          <w:szCs w:val="32"/>
        </w:rPr>
      </w:pPr>
      <w:r>
        <w:rPr>
          <w:rFonts w:eastAsia="黑体"/>
          <w:color w:val="000000" w:themeColor="text1"/>
          <w:sz w:val="32"/>
          <w:szCs w:val="32"/>
        </w:rPr>
        <w:t>二、资格性审查响应对照表（格式）</w:t>
      </w:r>
    </w:p>
    <w:p>
      <w:pPr>
        <w:spacing w:before="312" w:beforeLines="100" w:after="156" w:afterLines="50"/>
        <w:rPr>
          <w:color w:val="000000" w:themeColor="text1"/>
          <w:sz w:val="24"/>
          <w:szCs w:val="24"/>
        </w:rPr>
      </w:pPr>
      <w:r>
        <w:rPr>
          <w:color w:val="000000" w:themeColor="text1"/>
          <w:sz w:val="24"/>
          <w:szCs w:val="24"/>
        </w:rPr>
        <w:t>投标人全称（加盖公章）：</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5447"/>
        <w:gridCol w:w="1680"/>
        <w:gridCol w:w="17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jc w:val="center"/>
        </w:trPr>
        <w:tc>
          <w:tcPr>
            <w:tcW w:w="646" w:type="dxa"/>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b/>
                <w:bCs/>
                <w:color w:val="000000" w:themeColor="text1"/>
              </w:rPr>
            </w:pPr>
            <w:r>
              <w:rPr>
                <w:b/>
                <w:bCs/>
                <w:color w:val="000000" w:themeColor="text1"/>
              </w:rPr>
              <w:t>序号</w:t>
            </w:r>
          </w:p>
        </w:tc>
        <w:tc>
          <w:tcPr>
            <w:tcW w:w="5447" w:type="dxa"/>
            <w:tcBorders>
              <w:top w:val="single" w:color="auto" w:sz="4" w:space="0"/>
              <w:left w:val="nil"/>
              <w:bottom w:val="single" w:color="auto" w:sz="4" w:space="0"/>
              <w:right w:val="single" w:color="auto" w:sz="4" w:space="0"/>
            </w:tcBorders>
            <w:vAlign w:val="center"/>
          </w:tcPr>
          <w:p>
            <w:pPr>
              <w:snapToGrid w:val="0"/>
              <w:spacing w:line="240" w:lineRule="atLeast"/>
              <w:jc w:val="center"/>
              <w:rPr>
                <w:b/>
                <w:bCs/>
                <w:color w:val="000000" w:themeColor="text1"/>
              </w:rPr>
            </w:pPr>
            <w:r>
              <w:rPr>
                <w:b/>
                <w:bCs/>
                <w:color w:val="000000" w:themeColor="text1"/>
              </w:rPr>
              <w:t>资格性审查响应内容</w:t>
            </w:r>
          </w:p>
        </w:tc>
        <w:tc>
          <w:tcPr>
            <w:tcW w:w="1680" w:type="dxa"/>
            <w:tcBorders>
              <w:top w:val="single" w:color="auto" w:sz="4" w:space="0"/>
              <w:left w:val="nil"/>
              <w:bottom w:val="single" w:color="auto" w:sz="4" w:space="0"/>
              <w:right w:val="single" w:color="auto" w:sz="4" w:space="0"/>
            </w:tcBorders>
            <w:vAlign w:val="center"/>
          </w:tcPr>
          <w:p>
            <w:pPr>
              <w:snapToGrid w:val="0"/>
              <w:spacing w:line="240" w:lineRule="atLeast"/>
              <w:jc w:val="center"/>
              <w:rPr>
                <w:b/>
                <w:bCs/>
                <w:color w:val="000000" w:themeColor="text1"/>
              </w:rPr>
            </w:pPr>
            <w:r>
              <w:rPr>
                <w:b/>
                <w:bCs/>
                <w:color w:val="000000" w:themeColor="text1"/>
              </w:rPr>
              <w:t>是否响应</w:t>
            </w:r>
          </w:p>
          <w:p>
            <w:pPr>
              <w:snapToGrid w:val="0"/>
              <w:spacing w:line="240" w:lineRule="atLeast"/>
              <w:jc w:val="center"/>
              <w:rPr>
                <w:b/>
                <w:bCs/>
                <w:color w:val="000000" w:themeColor="text1"/>
              </w:rPr>
            </w:pPr>
            <w:r>
              <w:rPr>
                <w:b/>
                <w:bCs/>
                <w:color w:val="000000" w:themeColor="text1"/>
              </w:rPr>
              <w:t>（填是或者否）</w:t>
            </w:r>
          </w:p>
        </w:tc>
        <w:tc>
          <w:tcPr>
            <w:tcW w:w="1785" w:type="dxa"/>
            <w:tcBorders>
              <w:top w:val="single" w:color="auto" w:sz="4" w:space="0"/>
              <w:left w:val="nil"/>
              <w:bottom w:val="single" w:color="auto" w:sz="4" w:space="0"/>
              <w:right w:val="single" w:color="auto" w:sz="4" w:space="0"/>
            </w:tcBorders>
            <w:vAlign w:val="center"/>
          </w:tcPr>
          <w:p>
            <w:pPr>
              <w:snapToGrid w:val="0"/>
              <w:spacing w:line="240" w:lineRule="atLeast"/>
              <w:jc w:val="center"/>
              <w:rPr>
                <w:b/>
                <w:bCs/>
                <w:color w:val="000000" w:themeColor="text1"/>
              </w:rPr>
            </w:pPr>
            <w:r>
              <w:rPr>
                <w:b/>
                <w:bCs/>
                <w:color w:val="000000" w:themeColor="text1"/>
              </w:rPr>
              <w:t>投标文件中的</w:t>
            </w:r>
          </w:p>
          <w:p>
            <w:pPr>
              <w:snapToGrid w:val="0"/>
              <w:spacing w:line="240" w:lineRule="atLeast"/>
              <w:jc w:val="center"/>
              <w:rPr>
                <w:b/>
                <w:bCs/>
                <w:color w:val="000000" w:themeColor="text1"/>
              </w:rPr>
            </w:pPr>
            <w:r>
              <w:rPr>
                <w:b/>
                <w:bCs/>
                <w:color w:val="000000" w:themeColor="text1"/>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5" w:hRule="atLeast"/>
          <w:jc w:val="center"/>
        </w:trPr>
        <w:tc>
          <w:tcPr>
            <w:tcW w:w="646" w:type="dxa"/>
            <w:tcBorders>
              <w:top w:val="single" w:color="auto" w:sz="4" w:space="0"/>
              <w:left w:val="single" w:color="auto" w:sz="4" w:space="0"/>
              <w:bottom w:val="single" w:color="auto" w:sz="4" w:space="0"/>
              <w:right w:val="single" w:color="auto" w:sz="4" w:space="0"/>
            </w:tcBorders>
            <w:vAlign w:val="center"/>
          </w:tcPr>
          <w:p>
            <w:pPr>
              <w:jc w:val="center"/>
              <w:rPr>
                <w:bCs/>
                <w:color w:val="000000" w:themeColor="text1"/>
              </w:rPr>
            </w:pPr>
            <w:r>
              <w:rPr>
                <w:bCs/>
                <w:color w:val="000000" w:themeColor="text1"/>
              </w:rPr>
              <w:t>1</w:t>
            </w:r>
          </w:p>
        </w:tc>
        <w:tc>
          <w:tcPr>
            <w:tcW w:w="5447" w:type="dxa"/>
            <w:tcBorders>
              <w:top w:val="single" w:color="auto" w:sz="4" w:space="0"/>
              <w:left w:val="nil"/>
              <w:bottom w:val="single" w:color="auto" w:sz="4" w:space="0"/>
              <w:right w:val="single" w:color="auto" w:sz="4" w:space="0"/>
            </w:tcBorders>
            <w:vAlign w:val="center"/>
          </w:tcPr>
          <w:p>
            <w:pPr>
              <w:jc w:val="center"/>
              <w:rPr>
                <w:color w:val="000000" w:themeColor="text1"/>
                <w:sz w:val="24"/>
                <w:szCs w:val="24"/>
              </w:rPr>
            </w:pPr>
          </w:p>
        </w:tc>
        <w:tc>
          <w:tcPr>
            <w:tcW w:w="1680" w:type="dxa"/>
            <w:tcBorders>
              <w:top w:val="single" w:color="auto" w:sz="4" w:space="0"/>
              <w:left w:val="nil"/>
              <w:bottom w:val="single" w:color="auto" w:sz="4" w:space="0"/>
              <w:right w:val="single" w:color="auto" w:sz="4" w:space="0"/>
            </w:tcBorders>
            <w:vAlign w:val="center"/>
          </w:tcPr>
          <w:p>
            <w:pPr>
              <w:jc w:val="center"/>
              <w:rPr>
                <w:bCs/>
                <w:color w:val="000000" w:themeColor="text1"/>
              </w:rPr>
            </w:pPr>
          </w:p>
        </w:tc>
        <w:tc>
          <w:tcPr>
            <w:tcW w:w="1785" w:type="dxa"/>
            <w:tcBorders>
              <w:top w:val="single" w:color="auto" w:sz="4" w:space="0"/>
              <w:left w:val="nil"/>
              <w:bottom w:val="single" w:color="auto" w:sz="4" w:space="0"/>
              <w:right w:val="single" w:color="auto" w:sz="4" w:space="0"/>
            </w:tcBorders>
            <w:vAlign w:val="center"/>
          </w:tcPr>
          <w:p>
            <w:pPr>
              <w:jc w:val="center"/>
              <w:rPr>
                <w:bCs/>
                <w:color w:val="000000" w:themeColor="text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5" w:hRule="atLeast"/>
          <w:jc w:val="center"/>
        </w:trPr>
        <w:tc>
          <w:tcPr>
            <w:tcW w:w="646"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rPr>
            </w:pPr>
            <w:r>
              <w:rPr>
                <w:color w:val="000000" w:themeColor="text1"/>
              </w:rPr>
              <w:t>2</w:t>
            </w:r>
          </w:p>
        </w:tc>
        <w:tc>
          <w:tcPr>
            <w:tcW w:w="5447" w:type="dxa"/>
            <w:tcBorders>
              <w:top w:val="single" w:color="auto" w:sz="4" w:space="0"/>
              <w:left w:val="nil"/>
              <w:bottom w:val="single" w:color="auto" w:sz="4" w:space="0"/>
              <w:right w:val="single" w:color="auto" w:sz="4" w:space="0"/>
            </w:tcBorders>
            <w:vAlign w:val="center"/>
          </w:tcPr>
          <w:p>
            <w:pPr>
              <w:jc w:val="center"/>
              <w:rPr>
                <w:color w:val="000000" w:themeColor="text1"/>
                <w:sz w:val="24"/>
                <w:szCs w:val="24"/>
              </w:rPr>
            </w:pPr>
          </w:p>
        </w:tc>
        <w:tc>
          <w:tcPr>
            <w:tcW w:w="1680" w:type="dxa"/>
            <w:tcBorders>
              <w:top w:val="single" w:color="auto" w:sz="4" w:space="0"/>
              <w:left w:val="nil"/>
              <w:bottom w:val="single" w:color="auto" w:sz="4" w:space="0"/>
              <w:right w:val="single" w:color="auto" w:sz="4" w:space="0"/>
            </w:tcBorders>
            <w:vAlign w:val="center"/>
          </w:tcPr>
          <w:p>
            <w:pPr>
              <w:jc w:val="center"/>
              <w:rPr>
                <w:color w:val="000000" w:themeColor="text1"/>
              </w:rPr>
            </w:pPr>
          </w:p>
        </w:tc>
        <w:tc>
          <w:tcPr>
            <w:tcW w:w="1785" w:type="dxa"/>
            <w:tcBorders>
              <w:top w:val="single" w:color="auto" w:sz="4" w:space="0"/>
              <w:left w:val="nil"/>
              <w:bottom w:val="single" w:color="auto" w:sz="4" w:space="0"/>
              <w:right w:val="single" w:color="auto" w:sz="4" w:space="0"/>
            </w:tcBorders>
            <w:vAlign w:val="center"/>
          </w:tcPr>
          <w:p>
            <w:pPr>
              <w:jc w:val="center"/>
              <w:rPr>
                <w:color w:val="000000" w:themeColor="text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5" w:hRule="atLeast"/>
          <w:jc w:val="center"/>
        </w:trPr>
        <w:tc>
          <w:tcPr>
            <w:tcW w:w="646"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rPr>
            </w:pPr>
            <w:r>
              <w:rPr>
                <w:color w:val="000000" w:themeColor="text1"/>
              </w:rPr>
              <w:t>3</w:t>
            </w:r>
          </w:p>
        </w:tc>
        <w:tc>
          <w:tcPr>
            <w:tcW w:w="5447" w:type="dxa"/>
            <w:tcBorders>
              <w:top w:val="single" w:color="auto" w:sz="4" w:space="0"/>
              <w:left w:val="nil"/>
              <w:bottom w:val="single" w:color="auto" w:sz="4" w:space="0"/>
              <w:right w:val="single" w:color="auto" w:sz="4" w:space="0"/>
            </w:tcBorders>
            <w:vAlign w:val="center"/>
          </w:tcPr>
          <w:p>
            <w:pPr>
              <w:jc w:val="center"/>
              <w:rPr>
                <w:color w:val="000000" w:themeColor="text1"/>
                <w:sz w:val="24"/>
                <w:szCs w:val="24"/>
              </w:rPr>
            </w:pPr>
          </w:p>
        </w:tc>
        <w:tc>
          <w:tcPr>
            <w:tcW w:w="1680" w:type="dxa"/>
            <w:tcBorders>
              <w:top w:val="single" w:color="auto" w:sz="4" w:space="0"/>
              <w:left w:val="nil"/>
              <w:bottom w:val="single" w:color="auto" w:sz="4" w:space="0"/>
              <w:right w:val="single" w:color="auto" w:sz="4" w:space="0"/>
            </w:tcBorders>
            <w:vAlign w:val="center"/>
          </w:tcPr>
          <w:p>
            <w:pPr>
              <w:jc w:val="center"/>
              <w:rPr>
                <w:color w:val="000000" w:themeColor="text1"/>
              </w:rPr>
            </w:pPr>
          </w:p>
        </w:tc>
        <w:tc>
          <w:tcPr>
            <w:tcW w:w="1785" w:type="dxa"/>
            <w:tcBorders>
              <w:top w:val="single" w:color="auto" w:sz="4" w:space="0"/>
              <w:left w:val="nil"/>
              <w:bottom w:val="single" w:color="auto" w:sz="4" w:space="0"/>
              <w:right w:val="single" w:color="auto" w:sz="4" w:space="0"/>
            </w:tcBorders>
            <w:vAlign w:val="center"/>
          </w:tcPr>
          <w:p>
            <w:pPr>
              <w:jc w:val="center"/>
              <w:rPr>
                <w:color w:val="000000" w:themeColor="text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5" w:hRule="atLeast"/>
          <w:jc w:val="center"/>
        </w:trPr>
        <w:tc>
          <w:tcPr>
            <w:tcW w:w="646"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rPr>
            </w:pPr>
            <w:r>
              <w:rPr>
                <w:color w:val="000000" w:themeColor="text1"/>
              </w:rPr>
              <w:t>4</w:t>
            </w:r>
          </w:p>
        </w:tc>
        <w:tc>
          <w:tcPr>
            <w:tcW w:w="5447" w:type="dxa"/>
            <w:tcBorders>
              <w:top w:val="single" w:color="auto" w:sz="4" w:space="0"/>
              <w:left w:val="nil"/>
              <w:bottom w:val="single" w:color="auto" w:sz="4" w:space="0"/>
              <w:right w:val="single" w:color="auto" w:sz="4" w:space="0"/>
            </w:tcBorders>
            <w:vAlign w:val="center"/>
          </w:tcPr>
          <w:p>
            <w:pPr>
              <w:jc w:val="center"/>
              <w:rPr>
                <w:color w:val="000000" w:themeColor="text1"/>
                <w:sz w:val="24"/>
                <w:szCs w:val="24"/>
              </w:rPr>
            </w:pPr>
          </w:p>
        </w:tc>
        <w:tc>
          <w:tcPr>
            <w:tcW w:w="1680" w:type="dxa"/>
            <w:tcBorders>
              <w:top w:val="single" w:color="auto" w:sz="4" w:space="0"/>
              <w:left w:val="nil"/>
              <w:bottom w:val="single" w:color="auto" w:sz="4" w:space="0"/>
              <w:right w:val="single" w:color="auto" w:sz="4" w:space="0"/>
            </w:tcBorders>
            <w:vAlign w:val="center"/>
          </w:tcPr>
          <w:p>
            <w:pPr>
              <w:jc w:val="center"/>
              <w:rPr>
                <w:color w:val="000000" w:themeColor="text1"/>
              </w:rPr>
            </w:pPr>
          </w:p>
        </w:tc>
        <w:tc>
          <w:tcPr>
            <w:tcW w:w="1785" w:type="dxa"/>
            <w:tcBorders>
              <w:top w:val="single" w:color="auto" w:sz="4" w:space="0"/>
              <w:left w:val="nil"/>
              <w:bottom w:val="single" w:color="auto" w:sz="4" w:space="0"/>
              <w:right w:val="single" w:color="auto" w:sz="4" w:space="0"/>
            </w:tcBorders>
            <w:vAlign w:val="center"/>
          </w:tcPr>
          <w:p>
            <w:pPr>
              <w:jc w:val="center"/>
              <w:rPr>
                <w:color w:val="000000" w:themeColor="text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5" w:hRule="atLeast"/>
          <w:jc w:val="center"/>
        </w:trPr>
        <w:tc>
          <w:tcPr>
            <w:tcW w:w="646"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rPr>
            </w:pPr>
            <w:r>
              <w:rPr>
                <w:color w:val="000000" w:themeColor="text1"/>
              </w:rPr>
              <w:t>5</w:t>
            </w:r>
          </w:p>
        </w:tc>
        <w:tc>
          <w:tcPr>
            <w:tcW w:w="5447" w:type="dxa"/>
            <w:tcBorders>
              <w:top w:val="single" w:color="auto" w:sz="4" w:space="0"/>
              <w:left w:val="nil"/>
              <w:bottom w:val="single" w:color="auto" w:sz="4" w:space="0"/>
              <w:right w:val="single" w:color="auto" w:sz="4" w:space="0"/>
            </w:tcBorders>
            <w:vAlign w:val="center"/>
          </w:tcPr>
          <w:p>
            <w:pPr>
              <w:snapToGrid w:val="0"/>
              <w:jc w:val="center"/>
              <w:rPr>
                <w:color w:val="000000" w:themeColor="text1"/>
                <w:sz w:val="24"/>
                <w:szCs w:val="24"/>
              </w:rPr>
            </w:pPr>
          </w:p>
        </w:tc>
        <w:tc>
          <w:tcPr>
            <w:tcW w:w="1680" w:type="dxa"/>
            <w:tcBorders>
              <w:top w:val="single" w:color="auto" w:sz="4" w:space="0"/>
              <w:left w:val="nil"/>
              <w:bottom w:val="single" w:color="auto" w:sz="4" w:space="0"/>
              <w:right w:val="single" w:color="auto" w:sz="4" w:space="0"/>
            </w:tcBorders>
            <w:vAlign w:val="center"/>
          </w:tcPr>
          <w:p>
            <w:pPr>
              <w:jc w:val="center"/>
              <w:rPr>
                <w:color w:val="000000" w:themeColor="text1"/>
              </w:rPr>
            </w:pPr>
          </w:p>
        </w:tc>
        <w:tc>
          <w:tcPr>
            <w:tcW w:w="1785" w:type="dxa"/>
            <w:tcBorders>
              <w:top w:val="single" w:color="auto" w:sz="4" w:space="0"/>
              <w:left w:val="nil"/>
              <w:bottom w:val="single" w:color="auto" w:sz="4" w:space="0"/>
              <w:right w:val="single" w:color="auto" w:sz="4" w:space="0"/>
            </w:tcBorders>
            <w:vAlign w:val="center"/>
          </w:tcPr>
          <w:p>
            <w:pPr>
              <w:jc w:val="center"/>
              <w:rPr>
                <w:color w:val="000000" w:themeColor="text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5" w:hRule="atLeast"/>
          <w:jc w:val="center"/>
        </w:trPr>
        <w:tc>
          <w:tcPr>
            <w:tcW w:w="646"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rPr>
            </w:pPr>
            <w:r>
              <w:rPr>
                <w:color w:val="000000" w:themeColor="text1"/>
              </w:rPr>
              <w:t>6</w:t>
            </w:r>
          </w:p>
        </w:tc>
        <w:tc>
          <w:tcPr>
            <w:tcW w:w="5447" w:type="dxa"/>
            <w:tcBorders>
              <w:top w:val="single" w:color="auto" w:sz="4" w:space="0"/>
              <w:left w:val="nil"/>
              <w:bottom w:val="single" w:color="auto" w:sz="4" w:space="0"/>
              <w:right w:val="single" w:color="auto" w:sz="4" w:space="0"/>
            </w:tcBorders>
            <w:vAlign w:val="center"/>
          </w:tcPr>
          <w:p>
            <w:pPr>
              <w:snapToGrid w:val="0"/>
              <w:jc w:val="center"/>
              <w:rPr>
                <w:color w:val="000000" w:themeColor="text1"/>
                <w:sz w:val="24"/>
                <w:szCs w:val="24"/>
              </w:rPr>
            </w:pPr>
          </w:p>
        </w:tc>
        <w:tc>
          <w:tcPr>
            <w:tcW w:w="1680" w:type="dxa"/>
            <w:tcBorders>
              <w:top w:val="single" w:color="auto" w:sz="4" w:space="0"/>
              <w:left w:val="nil"/>
              <w:bottom w:val="single" w:color="auto" w:sz="4" w:space="0"/>
              <w:right w:val="single" w:color="auto" w:sz="4" w:space="0"/>
            </w:tcBorders>
            <w:vAlign w:val="center"/>
          </w:tcPr>
          <w:p>
            <w:pPr>
              <w:jc w:val="center"/>
              <w:rPr>
                <w:color w:val="000000" w:themeColor="text1"/>
              </w:rPr>
            </w:pPr>
          </w:p>
        </w:tc>
        <w:tc>
          <w:tcPr>
            <w:tcW w:w="1785" w:type="dxa"/>
            <w:tcBorders>
              <w:top w:val="single" w:color="auto" w:sz="4" w:space="0"/>
              <w:left w:val="nil"/>
              <w:bottom w:val="single" w:color="auto" w:sz="4" w:space="0"/>
              <w:right w:val="single" w:color="auto" w:sz="4" w:space="0"/>
            </w:tcBorders>
            <w:vAlign w:val="center"/>
          </w:tcPr>
          <w:p>
            <w:pPr>
              <w:jc w:val="center"/>
              <w:rPr>
                <w:color w:val="000000" w:themeColor="text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5" w:hRule="atLeast"/>
          <w:jc w:val="center"/>
        </w:trPr>
        <w:tc>
          <w:tcPr>
            <w:tcW w:w="646"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rPr>
            </w:pPr>
            <w:r>
              <w:rPr>
                <w:color w:val="000000" w:themeColor="text1"/>
              </w:rPr>
              <w:t>7</w:t>
            </w:r>
          </w:p>
        </w:tc>
        <w:tc>
          <w:tcPr>
            <w:tcW w:w="5447" w:type="dxa"/>
            <w:tcBorders>
              <w:top w:val="single" w:color="auto" w:sz="4" w:space="0"/>
              <w:left w:val="nil"/>
              <w:bottom w:val="single" w:color="auto" w:sz="4" w:space="0"/>
              <w:right w:val="single" w:color="auto" w:sz="4" w:space="0"/>
            </w:tcBorders>
            <w:vAlign w:val="center"/>
          </w:tcPr>
          <w:p>
            <w:pPr>
              <w:snapToGrid w:val="0"/>
              <w:jc w:val="center"/>
              <w:rPr>
                <w:color w:val="000000" w:themeColor="text1"/>
                <w:sz w:val="24"/>
                <w:szCs w:val="24"/>
              </w:rPr>
            </w:pPr>
          </w:p>
        </w:tc>
        <w:tc>
          <w:tcPr>
            <w:tcW w:w="1680" w:type="dxa"/>
            <w:tcBorders>
              <w:top w:val="single" w:color="auto" w:sz="4" w:space="0"/>
              <w:left w:val="nil"/>
              <w:bottom w:val="single" w:color="auto" w:sz="4" w:space="0"/>
              <w:right w:val="single" w:color="auto" w:sz="4" w:space="0"/>
            </w:tcBorders>
            <w:vAlign w:val="center"/>
          </w:tcPr>
          <w:p>
            <w:pPr>
              <w:jc w:val="center"/>
              <w:rPr>
                <w:color w:val="000000" w:themeColor="text1"/>
              </w:rPr>
            </w:pPr>
          </w:p>
        </w:tc>
        <w:tc>
          <w:tcPr>
            <w:tcW w:w="1785" w:type="dxa"/>
            <w:tcBorders>
              <w:top w:val="single" w:color="auto" w:sz="4" w:space="0"/>
              <w:left w:val="nil"/>
              <w:bottom w:val="single" w:color="auto" w:sz="4" w:space="0"/>
              <w:right w:val="single" w:color="auto" w:sz="4" w:space="0"/>
            </w:tcBorders>
            <w:vAlign w:val="center"/>
          </w:tcPr>
          <w:p>
            <w:pPr>
              <w:jc w:val="center"/>
              <w:rPr>
                <w:color w:val="000000" w:themeColor="text1"/>
              </w:rPr>
            </w:pPr>
          </w:p>
        </w:tc>
      </w:tr>
    </w:tbl>
    <w:p>
      <w:pPr>
        <w:spacing w:line="440" w:lineRule="exact"/>
        <w:ind w:firstLine="640" w:firstLineChars="200"/>
        <w:rPr>
          <w:rFonts w:eastAsia="黑体"/>
          <w:color w:val="000000" w:themeColor="text1"/>
          <w:sz w:val="32"/>
          <w:szCs w:val="32"/>
        </w:rPr>
      </w:pPr>
    </w:p>
    <w:p>
      <w:pPr>
        <w:snapToGrid w:val="0"/>
        <w:spacing w:before="50" w:after="50"/>
        <w:jc w:val="center"/>
        <w:rPr>
          <w:rFonts w:eastAsia="黑体"/>
          <w:color w:val="000000" w:themeColor="text1"/>
          <w:sz w:val="32"/>
          <w:szCs w:val="32"/>
        </w:rPr>
      </w:pPr>
      <w:r>
        <w:rPr>
          <w:rFonts w:eastAsia="黑体"/>
          <w:color w:val="000000" w:themeColor="text1"/>
          <w:sz w:val="32"/>
          <w:szCs w:val="32"/>
        </w:rPr>
        <w:br w:type="page"/>
      </w:r>
      <w:r>
        <w:rPr>
          <w:rFonts w:eastAsia="黑体"/>
          <w:color w:val="000000" w:themeColor="text1"/>
          <w:sz w:val="32"/>
          <w:szCs w:val="32"/>
        </w:rPr>
        <w:t>三、符合性检查响应对照表（格式）</w:t>
      </w:r>
    </w:p>
    <w:p>
      <w:pPr>
        <w:spacing w:before="312" w:beforeLines="100" w:after="156" w:afterLines="50"/>
        <w:rPr>
          <w:color w:val="000000" w:themeColor="text1"/>
          <w:sz w:val="24"/>
          <w:szCs w:val="24"/>
        </w:rPr>
      </w:pPr>
      <w:r>
        <w:rPr>
          <w:color w:val="000000" w:themeColor="text1"/>
          <w:sz w:val="24"/>
          <w:szCs w:val="24"/>
        </w:rPr>
        <w:t>投标人全称（加盖公章）：</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5447"/>
        <w:gridCol w:w="1680"/>
        <w:gridCol w:w="17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646" w:type="dxa"/>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b/>
                <w:bCs/>
                <w:color w:val="000000" w:themeColor="text1"/>
              </w:rPr>
            </w:pPr>
            <w:r>
              <w:rPr>
                <w:b/>
                <w:bCs/>
                <w:color w:val="000000" w:themeColor="text1"/>
              </w:rPr>
              <w:t>序号</w:t>
            </w:r>
          </w:p>
        </w:tc>
        <w:tc>
          <w:tcPr>
            <w:tcW w:w="5447" w:type="dxa"/>
            <w:tcBorders>
              <w:top w:val="single" w:color="auto" w:sz="4" w:space="0"/>
              <w:left w:val="nil"/>
              <w:bottom w:val="single" w:color="auto" w:sz="4" w:space="0"/>
              <w:right w:val="single" w:color="auto" w:sz="4" w:space="0"/>
            </w:tcBorders>
            <w:vAlign w:val="center"/>
          </w:tcPr>
          <w:p>
            <w:pPr>
              <w:snapToGrid w:val="0"/>
              <w:spacing w:line="240" w:lineRule="atLeast"/>
              <w:jc w:val="center"/>
              <w:rPr>
                <w:b/>
                <w:bCs/>
                <w:color w:val="000000" w:themeColor="text1"/>
              </w:rPr>
            </w:pPr>
            <w:r>
              <w:rPr>
                <w:b/>
                <w:bCs/>
                <w:color w:val="000000" w:themeColor="text1"/>
              </w:rPr>
              <w:t>符合性检查响应内容</w:t>
            </w:r>
          </w:p>
        </w:tc>
        <w:tc>
          <w:tcPr>
            <w:tcW w:w="1680" w:type="dxa"/>
            <w:tcBorders>
              <w:top w:val="single" w:color="auto" w:sz="4" w:space="0"/>
              <w:left w:val="nil"/>
              <w:bottom w:val="single" w:color="auto" w:sz="4" w:space="0"/>
              <w:right w:val="single" w:color="auto" w:sz="4" w:space="0"/>
            </w:tcBorders>
            <w:vAlign w:val="center"/>
          </w:tcPr>
          <w:p>
            <w:pPr>
              <w:snapToGrid w:val="0"/>
              <w:spacing w:line="240" w:lineRule="atLeast"/>
              <w:jc w:val="center"/>
              <w:rPr>
                <w:b/>
                <w:bCs/>
                <w:color w:val="000000" w:themeColor="text1"/>
              </w:rPr>
            </w:pPr>
            <w:r>
              <w:rPr>
                <w:b/>
                <w:bCs/>
                <w:color w:val="000000" w:themeColor="text1"/>
              </w:rPr>
              <w:t>是否响应</w:t>
            </w:r>
          </w:p>
          <w:p>
            <w:pPr>
              <w:snapToGrid w:val="0"/>
              <w:spacing w:line="240" w:lineRule="atLeast"/>
              <w:jc w:val="center"/>
              <w:rPr>
                <w:b/>
                <w:bCs/>
                <w:color w:val="000000" w:themeColor="text1"/>
              </w:rPr>
            </w:pPr>
            <w:r>
              <w:rPr>
                <w:b/>
                <w:bCs/>
                <w:color w:val="000000" w:themeColor="text1"/>
              </w:rPr>
              <w:t>（填是或者否）</w:t>
            </w:r>
          </w:p>
        </w:tc>
        <w:tc>
          <w:tcPr>
            <w:tcW w:w="1785" w:type="dxa"/>
            <w:tcBorders>
              <w:top w:val="single" w:color="auto" w:sz="4" w:space="0"/>
              <w:left w:val="nil"/>
              <w:bottom w:val="single" w:color="auto" w:sz="4" w:space="0"/>
              <w:right w:val="single" w:color="auto" w:sz="4" w:space="0"/>
            </w:tcBorders>
            <w:vAlign w:val="center"/>
          </w:tcPr>
          <w:p>
            <w:pPr>
              <w:snapToGrid w:val="0"/>
              <w:spacing w:line="240" w:lineRule="atLeast"/>
              <w:jc w:val="center"/>
              <w:rPr>
                <w:b/>
                <w:bCs/>
                <w:color w:val="000000" w:themeColor="text1"/>
              </w:rPr>
            </w:pPr>
            <w:r>
              <w:rPr>
                <w:b/>
                <w:bCs/>
                <w:color w:val="000000" w:themeColor="text1"/>
              </w:rPr>
              <w:t>投标文件中的</w:t>
            </w:r>
          </w:p>
          <w:p>
            <w:pPr>
              <w:snapToGrid w:val="0"/>
              <w:spacing w:line="240" w:lineRule="atLeast"/>
              <w:jc w:val="center"/>
              <w:rPr>
                <w:b/>
                <w:bCs/>
                <w:color w:val="000000" w:themeColor="text1"/>
              </w:rPr>
            </w:pPr>
            <w:r>
              <w:rPr>
                <w:b/>
                <w:bCs/>
                <w:color w:val="000000" w:themeColor="text1"/>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1" w:hRule="atLeast"/>
        </w:trPr>
        <w:tc>
          <w:tcPr>
            <w:tcW w:w="646" w:type="dxa"/>
            <w:tcBorders>
              <w:top w:val="single" w:color="auto" w:sz="4" w:space="0"/>
              <w:left w:val="single" w:color="auto" w:sz="4" w:space="0"/>
              <w:bottom w:val="single" w:color="auto" w:sz="4" w:space="0"/>
              <w:right w:val="single" w:color="auto" w:sz="4" w:space="0"/>
            </w:tcBorders>
            <w:vAlign w:val="center"/>
          </w:tcPr>
          <w:p>
            <w:pPr>
              <w:jc w:val="center"/>
              <w:rPr>
                <w:bCs/>
                <w:color w:val="000000" w:themeColor="text1"/>
              </w:rPr>
            </w:pPr>
            <w:r>
              <w:rPr>
                <w:bCs/>
                <w:color w:val="000000" w:themeColor="text1"/>
              </w:rPr>
              <w:t>1</w:t>
            </w:r>
          </w:p>
        </w:tc>
        <w:tc>
          <w:tcPr>
            <w:tcW w:w="5447" w:type="dxa"/>
            <w:tcBorders>
              <w:top w:val="single" w:color="auto" w:sz="4" w:space="0"/>
              <w:left w:val="nil"/>
              <w:bottom w:val="single" w:color="auto" w:sz="4" w:space="0"/>
              <w:right w:val="single" w:color="auto" w:sz="4" w:space="0"/>
            </w:tcBorders>
            <w:vAlign w:val="center"/>
          </w:tcPr>
          <w:p>
            <w:pPr>
              <w:spacing w:line="480" w:lineRule="exact"/>
              <w:rPr>
                <w:color w:val="000000" w:themeColor="text1"/>
                <w:sz w:val="24"/>
                <w:szCs w:val="24"/>
              </w:rPr>
            </w:pPr>
          </w:p>
        </w:tc>
        <w:tc>
          <w:tcPr>
            <w:tcW w:w="1680" w:type="dxa"/>
            <w:tcBorders>
              <w:top w:val="single" w:color="auto" w:sz="4" w:space="0"/>
              <w:left w:val="nil"/>
              <w:bottom w:val="single" w:color="auto" w:sz="4" w:space="0"/>
              <w:right w:val="single" w:color="auto" w:sz="4" w:space="0"/>
            </w:tcBorders>
            <w:vAlign w:val="center"/>
          </w:tcPr>
          <w:p>
            <w:pPr>
              <w:rPr>
                <w:bCs/>
                <w:color w:val="000000" w:themeColor="text1"/>
              </w:rPr>
            </w:pPr>
          </w:p>
        </w:tc>
        <w:tc>
          <w:tcPr>
            <w:tcW w:w="1785" w:type="dxa"/>
            <w:tcBorders>
              <w:top w:val="single" w:color="auto" w:sz="4" w:space="0"/>
              <w:left w:val="nil"/>
              <w:bottom w:val="single" w:color="auto" w:sz="4" w:space="0"/>
              <w:right w:val="single" w:color="auto" w:sz="4" w:space="0"/>
            </w:tcBorders>
            <w:vAlign w:val="center"/>
          </w:tcPr>
          <w:p>
            <w:pPr>
              <w:rPr>
                <w:bCs/>
                <w:color w:val="000000" w:themeColor="text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1" w:hRule="atLeast"/>
        </w:trPr>
        <w:tc>
          <w:tcPr>
            <w:tcW w:w="646"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rPr>
            </w:pPr>
            <w:r>
              <w:rPr>
                <w:color w:val="000000" w:themeColor="text1"/>
              </w:rPr>
              <w:t>2</w:t>
            </w:r>
          </w:p>
        </w:tc>
        <w:tc>
          <w:tcPr>
            <w:tcW w:w="5447" w:type="dxa"/>
            <w:tcBorders>
              <w:top w:val="single" w:color="auto" w:sz="4" w:space="0"/>
              <w:left w:val="nil"/>
              <w:bottom w:val="single" w:color="auto" w:sz="4" w:space="0"/>
              <w:right w:val="single" w:color="auto" w:sz="4" w:space="0"/>
            </w:tcBorders>
            <w:vAlign w:val="center"/>
          </w:tcPr>
          <w:p>
            <w:pPr>
              <w:spacing w:line="480" w:lineRule="exact"/>
              <w:rPr>
                <w:color w:val="000000" w:themeColor="text1"/>
                <w:sz w:val="24"/>
                <w:szCs w:val="24"/>
              </w:rPr>
            </w:pPr>
          </w:p>
        </w:tc>
        <w:tc>
          <w:tcPr>
            <w:tcW w:w="1680" w:type="dxa"/>
            <w:tcBorders>
              <w:top w:val="single" w:color="auto" w:sz="4" w:space="0"/>
              <w:left w:val="nil"/>
              <w:bottom w:val="single" w:color="auto" w:sz="4" w:space="0"/>
              <w:right w:val="single" w:color="auto" w:sz="4" w:space="0"/>
            </w:tcBorders>
            <w:vAlign w:val="center"/>
          </w:tcPr>
          <w:p>
            <w:pPr>
              <w:rPr>
                <w:color w:val="000000" w:themeColor="text1"/>
              </w:rPr>
            </w:pPr>
          </w:p>
        </w:tc>
        <w:tc>
          <w:tcPr>
            <w:tcW w:w="1785" w:type="dxa"/>
            <w:tcBorders>
              <w:top w:val="single" w:color="auto" w:sz="4" w:space="0"/>
              <w:left w:val="nil"/>
              <w:bottom w:val="single" w:color="auto" w:sz="4" w:space="0"/>
              <w:right w:val="single" w:color="auto" w:sz="4" w:space="0"/>
            </w:tcBorders>
            <w:vAlign w:val="center"/>
          </w:tcPr>
          <w:p>
            <w:pPr>
              <w:rPr>
                <w:color w:val="000000" w:themeColor="text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1" w:hRule="atLeast"/>
        </w:trPr>
        <w:tc>
          <w:tcPr>
            <w:tcW w:w="646"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rPr>
            </w:pPr>
            <w:r>
              <w:rPr>
                <w:color w:val="000000" w:themeColor="text1"/>
              </w:rPr>
              <w:t>3</w:t>
            </w:r>
          </w:p>
        </w:tc>
        <w:tc>
          <w:tcPr>
            <w:tcW w:w="5447" w:type="dxa"/>
            <w:tcBorders>
              <w:top w:val="single" w:color="auto" w:sz="4" w:space="0"/>
              <w:left w:val="nil"/>
              <w:bottom w:val="single" w:color="auto" w:sz="4" w:space="0"/>
              <w:right w:val="single" w:color="auto" w:sz="4" w:space="0"/>
            </w:tcBorders>
            <w:vAlign w:val="center"/>
          </w:tcPr>
          <w:p>
            <w:pPr>
              <w:spacing w:line="480" w:lineRule="exact"/>
              <w:rPr>
                <w:color w:val="000000" w:themeColor="text1"/>
                <w:sz w:val="24"/>
                <w:szCs w:val="24"/>
              </w:rPr>
            </w:pPr>
          </w:p>
        </w:tc>
        <w:tc>
          <w:tcPr>
            <w:tcW w:w="1680" w:type="dxa"/>
            <w:tcBorders>
              <w:top w:val="single" w:color="auto" w:sz="4" w:space="0"/>
              <w:left w:val="nil"/>
              <w:bottom w:val="single" w:color="auto" w:sz="4" w:space="0"/>
              <w:right w:val="single" w:color="auto" w:sz="4" w:space="0"/>
            </w:tcBorders>
            <w:vAlign w:val="center"/>
          </w:tcPr>
          <w:p>
            <w:pPr>
              <w:rPr>
                <w:color w:val="000000" w:themeColor="text1"/>
              </w:rPr>
            </w:pPr>
          </w:p>
        </w:tc>
        <w:tc>
          <w:tcPr>
            <w:tcW w:w="1785" w:type="dxa"/>
            <w:tcBorders>
              <w:top w:val="single" w:color="auto" w:sz="4" w:space="0"/>
              <w:left w:val="nil"/>
              <w:bottom w:val="single" w:color="auto" w:sz="4" w:space="0"/>
              <w:right w:val="single" w:color="auto" w:sz="4" w:space="0"/>
            </w:tcBorders>
            <w:vAlign w:val="center"/>
          </w:tcPr>
          <w:p>
            <w:pPr>
              <w:rPr>
                <w:color w:val="000000" w:themeColor="text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1" w:hRule="atLeast"/>
        </w:trPr>
        <w:tc>
          <w:tcPr>
            <w:tcW w:w="646"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rPr>
            </w:pPr>
            <w:r>
              <w:rPr>
                <w:color w:val="000000" w:themeColor="text1"/>
              </w:rPr>
              <w:t>4</w:t>
            </w:r>
          </w:p>
        </w:tc>
        <w:tc>
          <w:tcPr>
            <w:tcW w:w="5447" w:type="dxa"/>
            <w:tcBorders>
              <w:top w:val="single" w:color="auto" w:sz="4" w:space="0"/>
              <w:left w:val="nil"/>
              <w:bottom w:val="single" w:color="auto" w:sz="4" w:space="0"/>
              <w:right w:val="single" w:color="auto" w:sz="4" w:space="0"/>
            </w:tcBorders>
            <w:vAlign w:val="center"/>
          </w:tcPr>
          <w:p>
            <w:pPr>
              <w:spacing w:line="360" w:lineRule="auto"/>
              <w:rPr>
                <w:color w:val="000000" w:themeColor="text1"/>
                <w:sz w:val="24"/>
                <w:szCs w:val="24"/>
              </w:rPr>
            </w:pPr>
          </w:p>
        </w:tc>
        <w:tc>
          <w:tcPr>
            <w:tcW w:w="1680" w:type="dxa"/>
            <w:tcBorders>
              <w:top w:val="single" w:color="auto" w:sz="4" w:space="0"/>
              <w:left w:val="nil"/>
              <w:bottom w:val="single" w:color="auto" w:sz="4" w:space="0"/>
              <w:right w:val="single" w:color="auto" w:sz="4" w:space="0"/>
            </w:tcBorders>
            <w:vAlign w:val="center"/>
          </w:tcPr>
          <w:p>
            <w:pPr>
              <w:rPr>
                <w:color w:val="000000" w:themeColor="text1"/>
              </w:rPr>
            </w:pPr>
          </w:p>
        </w:tc>
        <w:tc>
          <w:tcPr>
            <w:tcW w:w="1785" w:type="dxa"/>
            <w:tcBorders>
              <w:top w:val="single" w:color="auto" w:sz="4" w:space="0"/>
              <w:left w:val="nil"/>
              <w:bottom w:val="single" w:color="auto" w:sz="4" w:space="0"/>
              <w:right w:val="single" w:color="auto" w:sz="4" w:space="0"/>
            </w:tcBorders>
            <w:vAlign w:val="center"/>
          </w:tcPr>
          <w:p>
            <w:pPr>
              <w:rPr>
                <w:color w:val="000000" w:themeColor="text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1" w:hRule="atLeast"/>
        </w:trPr>
        <w:tc>
          <w:tcPr>
            <w:tcW w:w="646"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rPr>
            </w:pPr>
            <w:r>
              <w:rPr>
                <w:color w:val="000000" w:themeColor="text1"/>
              </w:rPr>
              <w:t>5</w:t>
            </w:r>
          </w:p>
        </w:tc>
        <w:tc>
          <w:tcPr>
            <w:tcW w:w="5447" w:type="dxa"/>
            <w:tcBorders>
              <w:top w:val="single" w:color="auto" w:sz="4" w:space="0"/>
              <w:left w:val="nil"/>
              <w:bottom w:val="single" w:color="auto" w:sz="4" w:space="0"/>
              <w:right w:val="single" w:color="auto" w:sz="4" w:space="0"/>
            </w:tcBorders>
            <w:vAlign w:val="center"/>
          </w:tcPr>
          <w:p>
            <w:pPr>
              <w:snapToGrid w:val="0"/>
              <w:spacing w:line="590" w:lineRule="atLeast"/>
              <w:rPr>
                <w:color w:val="000000" w:themeColor="text1"/>
                <w:sz w:val="24"/>
                <w:szCs w:val="24"/>
              </w:rPr>
            </w:pPr>
          </w:p>
        </w:tc>
        <w:tc>
          <w:tcPr>
            <w:tcW w:w="1680" w:type="dxa"/>
            <w:tcBorders>
              <w:top w:val="single" w:color="auto" w:sz="4" w:space="0"/>
              <w:left w:val="nil"/>
              <w:bottom w:val="single" w:color="auto" w:sz="4" w:space="0"/>
              <w:right w:val="single" w:color="auto" w:sz="4" w:space="0"/>
            </w:tcBorders>
            <w:vAlign w:val="center"/>
          </w:tcPr>
          <w:p>
            <w:pPr>
              <w:rPr>
                <w:color w:val="000000" w:themeColor="text1"/>
              </w:rPr>
            </w:pPr>
          </w:p>
        </w:tc>
        <w:tc>
          <w:tcPr>
            <w:tcW w:w="1785" w:type="dxa"/>
            <w:tcBorders>
              <w:top w:val="single" w:color="auto" w:sz="4" w:space="0"/>
              <w:left w:val="nil"/>
              <w:bottom w:val="single" w:color="auto" w:sz="4" w:space="0"/>
              <w:right w:val="single" w:color="auto" w:sz="4" w:space="0"/>
            </w:tcBorders>
            <w:vAlign w:val="center"/>
          </w:tcPr>
          <w:p>
            <w:pPr>
              <w:rPr>
                <w:color w:val="000000" w:themeColor="text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1" w:hRule="atLeast"/>
        </w:trPr>
        <w:tc>
          <w:tcPr>
            <w:tcW w:w="646"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rPr>
            </w:pPr>
            <w:r>
              <w:rPr>
                <w:color w:val="000000" w:themeColor="text1"/>
              </w:rPr>
              <w:t>6</w:t>
            </w:r>
          </w:p>
        </w:tc>
        <w:tc>
          <w:tcPr>
            <w:tcW w:w="5447" w:type="dxa"/>
            <w:tcBorders>
              <w:top w:val="single" w:color="auto" w:sz="4" w:space="0"/>
              <w:left w:val="nil"/>
              <w:bottom w:val="single" w:color="auto" w:sz="4" w:space="0"/>
              <w:right w:val="single" w:color="auto" w:sz="4" w:space="0"/>
            </w:tcBorders>
            <w:vAlign w:val="center"/>
          </w:tcPr>
          <w:p>
            <w:pPr>
              <w:snapToGrid w:val="0"/>
              <w:spacing w:line="590" w:lineRule="atLeast"/>
              <w:rPr>
                <w:color w:val="000000" w:themeColor="text1"/>
                <w:sz w:val="24"/>
                <w:szCs w:val="24"/>
              </w:rPr>
            </w:pPr>
          </w:p>
        </w:tc>
        <w:tc>
          <w:tcPr>
            <w:tcW w:w="1680" w:type="dxa"/>
            <w:tcBorders>
              <w:top w:val="single" w:color="auto" w:sz="4" w:space="0"/>
              <w:left w:val="nil"/>
              <w:bottom w:val="single" w:color="auto" w:sz="4" w:space="0"/>
              <w:right w:val="single" w:color="auto" w:sz="4" w:space="0"/>
            </w:tcBorders>
            <w:vAlign w:val="center"/>
          </w:tcPr>
          <w:p>
            <w:pPr>
              <w:rPr>
                <w:color w:val="000000" w:themeColor="text1"/>
              </w:rPr>
            </w:pPr>
          </w:p>
        </w:tc>
        <w:tc>
          <w:tcPr>
            <w:tcW w:w="1785" w:type="dxa"/>
            <w:tcBorders>
              <w:top w:val="single" w:color="auto" w:sz="4" w:space="0"/>
              <w:left w:val="nil"/>
              <w:bottom w:val="single" w:color="auto" w:sz="4" w:space="0"/>
              <w:right w:val="single" w:color="auto" w:sz="4" w:space="0"/>
            </w:tcBorders>
            <w:vAlign w:val="center"/>
          </w:tcPr>
          <w:p>
            <w:pPr>
              <w:rPr>
                <w:color w:val="000000" w:themeColor="text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1" w:hRule="atLeast"/>
        </w:trPr>
        <w:tc>
          <w:tcPr>
            <w:tcW w:w="646"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rPr>
            </w:pPr>
            <w:r>
              <w:rPr>
                <w:rFonts w:hint="eastAsia"/>
                <w:color w:val="000000" w:themeColor="text1"/>
              </w:rPr>
              <w:t>7</w:t>
            </w:r>
          </w:p>
        </w:tc>
        <w:tc>
          <w:tcPr>
            <w:tcW w:w="5447" w:type="dxa"/>
            <w:tcBorders>
              <w:top w:val="single" w:color="auto" w:sz="4" w:space="0"/>
              <w:left w:val="nil"/>
              <w:bottom w:val="single" w:color="auto" w:sz="4" w:space="0"/>
              <w:right w:val="single" w:color="auto" w:sz="4" w:space="0"/>
            </w:tcBorders>
            <w:vAlign w:val="center"/>
          </w:tcPr>
          <w:p>
            <w:pPr>
              <w:snapToGrid w:val="0"/>
              <w:spacing w:line="590" w:lineRule="atLeast"/>
              <w:rPr>
                <w:color w:val="000000" w:themeColor="text1"/>
                <w:sz w:val="24"/>
                <w:szCs w:val="24"/>
              </w:rPr>
            </w:pPr>
          </w:p>
        </w:tc>
        <w:tc>
          <w:tcPr>
            <w:tcW w:w="1680" w:type="dxa"/>
            <w:tcBorders>
              <w:top w:val="single" w:color="auto" w:sz="4" w:space="0"/>
              <w:left w:val="nil"/>
              <w:bottom w:val="single" w:color="auto" w:sz="4" w:space="0"/>
              <w:right w:val="single" w:color="auto" w:sz="4" w:space="0"/>
            </w:tcBorders>
            <w:vAlign w:val="center"/>
          </w:tcPr>
          <w:p>
            <w:pPr>
              <w:rPr>
                <w:color w:val="000000" w:themeColor="text1"/>
              </w:rPr>
            </w:pPr>
          </w:p>
        </w:tc>
        <w:tc>
          <w:tcPr>
            <w:tcW w:w="1785" w:type="dxa"/>
            <w:tcBorders>
              <w:top w:val="single" w:color="auto" w:sz="4" w:space="0"/>
              <w:left w:val="nil"/>
              <w:bottom w:val="single" w:color="auto" w:sz="4" w:space="0"/>
              <w:right w:val="single" w:color="auto" w:sz="4" w:space="0"/>
            </w:tcBorders>
            <w:vAlign w:val="center"/>
          </w:tcPr>
          <w:p>
            <w:pPr>
              <w:rPr>
                <w:color w:val="000000" w:themeColor="text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1" w:hRule="atLeast"/>
        </w:trPr>
        <w:tc>
          <w:tcPr>
            <w:tcW w:w="646"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rPr>
            </w:pPr>
            <w:r>
              <w:rPr>
                <w:rFonts w:hint="eastAsia"/>
                <w:color w:val="000000" w:themeColor="text1"/>
              </w:rPr>
              <w:t>8</w:t>
            </w:r>
          </w:p>
        </w:tc>
        <w:tc>
          <w:tcPr>
            <w:tcW w:w="5447" w:type="dxa"/>
            <w:tcBorders>
              <w:top w:val="single" w:color="auto" w:sz="4" w:space="0"/>
              <w:left w:val="nil"/>
              <w:bottom w:val="single" w:color="auto" w:sz="4" w:space="0"/>
              <w:right w:val="single" w:color="auto" w:sz="4" w:space="0"/>
            </w:tcBorders>
            <w:vAlign w:val="center"/>
          </w:tcPr>
          <w:p>
            <w:pPr>
              <w:snapToGrid w:val="0"/>
              <w:spacing w:line="590" w:lineRule="atLeast"/>
              <w:rPr>
                <w:color w:val="000000" w:themeColor="text1"/>
                <w:sz w:val="24"/>
                <w:szCs w:val="24"/>
              </w:rPr>
            </w:pPr>
          </w:p>
        </w:tc>
        <w:tc>
          <w:tcPr>
            <w:tcW w:w="1680" w:type="dxa"/>
            <w:tcBorders>
              <w:top w:val="single" w:color="auto" w:sz="4" w:space="0"/>
              <w:left w:val="nil"/>
              <w:bottom w:val="single" w:color="auto" w:sz="4" w:space="0"/>
              <w:right w:val="single" w:color="auto" w:sz="4" w:space="0"/>
            </w:tcBorders>
            <w:vAlign w:val="center"/>
          </w:tcPr>
          <w:p>
            <w:pPr>
              <w:rPr>
                <w:color w:val="000000" w:themeColor="text1"/>
              </w:rPr>
            </w:pPr>
          </w:p>
        </w:tc>
        <w:tc>
          <w:tcPr>
            <w:tcW w:w="1785" w:type="dxa"/>
            <w:tcBorders>
              <w:top w:val="single" w:color="auto" w:sz="4" w:space="0"/>
              <w:left w:val="nil"/>
              <w:bottom w:val="single" w:color="auto" w:sz="4" w:space="0"/>
              <w:right w:val="single" w:color="auto" w:sz="4" w:space="0"/>
            </w:tcBorders>
            <w:vAlign w:val="center"/>
          </w:tcPr>
          <w:p>
            <w:pPr>
              <w:rPr>
                <w:color w:val="000000" w:themeColor="text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1" w:hRule="atLeast"/>
        </w:trPr>
        <w:tc>
          <w:tcPr>
            <w:tcW w:w="646"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rPr>
            </w:pPr>
            <w:r>
              <w:rPr>
                <w:rFonts w:hint="eastAsia"/>
                <w:color w:val="000000" w:themeColor="text1"/>
              </w:rPr>
              <w:t>9</w:t>
            </w:r>
          </w:p>
        </w:tc>
        <w:tc>
          <w:tcPr>
            <w:tcW w:w="5447" w:type="dxa"/>
            <w:tcBorders>
              <w:top w:val="single" w:color="auto" w:sz="4" w:space="0"/>
              <w:left w:val="nil"/>
              <w:bottom w:val="single" w:color="auto" w:sz="4" w:space="0"/>
              <w:right w:val="single" w:color="auto" w:sz="4" w:space="0"/>
            </w:tcBorders>
            <w:vAlign w:val="center"/>
          </w:tcPr>
          <w:p>
            <w:pPr>
              <w:snapToGrid w:val="0"/>
              <w:spacing w:line="590" w:lineRule="atLeast"/>
              <w:rPr>
                <w:color w:val="000000" w:themeColor="text1"/>
                <w:sz w:val="24"/>
                <w:szCs w:val="24"/>
              </w:rPr>
            </w:pPr>
          </w:p>
        </w:tc>
        <w:tc>
          <w:tcPr>
            <w:tcW w:w="1680" w:type="dxa"/>
            <w:tcBorders>
              <w:top w:val="single" w:color="auto" w:sz="4" w:space="0"/>
              <w:left w:val="nil"/>
              <w:bottom w:val="single" w:color="auto" w:sz="4" w:space="0"/>
              <w:right w:val="single" w:color="auto" w:sz="4" w:space="0"/>
            </w:tcBorders>
            <w:vAlign w:val="center"/>
          </w:tcPr>
          <w:p>
            <w:pPr>
              <w:rPr>
                <w:color w:val="000000" w:themeColor="text1"/>
              </w:rPr>
            </w:pPr>
          </w:p>
        </w:tc>
        <w:tc>
          <w:tcPr>
            <w:tcW w:w="1785" w:type="dxa"/>
            <w:tcBorders>
              <w:top w:val="single" w:color="auto" w:sz="4" w:space="0"/>
              <w:left w:val="nil"/>
              <w:bottom w:val="single" w:color="auto" w:sz="4" w:space="0"/>
              <w:right w:val="single" w:color="auto" w:sz="4" w:space="0"/>
            </w:tcBorders>
            <w:vAlign w:val="center"/>
          </w:tcPr>
          <w:p>
            <w:pPr>
              <w:rPr>
                <w:color w:val="000000" w:themeColor="text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1" w:hRule="atLeast"/>
        </w:trPr>
        <w:tc>
          <w:tcPr>
            <w:tcW w:w="646"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rPr>
            </w:pPr>
            <w:r>
              <w:rPr>
                <w:rFonts w:hint="eastAsia"/>
                <w:color w:val="000000" w:themeColor="text1"/>
              </w:rPr>
              <w:t>10</w:t>
            </w:r>
          </w:p>
        </w:tc>
        <w:tc>
          <w:tcPr>
            <w:tcW w:w="5447" w:type="dxa"/>
            <w:tcBorders>
              <w:top w:val="single" w:color="auto" w:sz="4" w:space="0"/>
              <w:left w:val="nil"/>
              <w:bottom w:val="single" w:color="auto" w:sz="4" w:space="0"/>
              <w:right w:val="single" w:color="auto" w:sz="4" w:space="0"/>
            </w:tcBorders>
            <w:vAlign w:val="center"/>
          </w:tcPr>
          <w:p>
            <w:pPr>
              <w:snapToGrid w:val="0"/>
              <w:rPr>
                <w:color w:val="000000" w:themeColor="text1"/>
                <w:sz w:val="24"/>
                <w:szCs w:val="24"/>
              </w:rPr>
            </w:pPr>
            <w:r>
              <w:rPr>
                <w:color w:val="000000" w:themeColor="text1"/>
                <w:sz w:val="24"/>
                <w:szCs w:val="24"/>
              </w:rPr>
              <w:t>招标文件中的其他实质性要求</w:t>
            </w:r>
          </w:p>
        </w:tc>
        <w:tc>
          <w:tcPr>
            <w:tcW w:w="1680" w:type="dxa"/>
            <w:tcBorders>
              <w:top w:val="single" w:color="auto" w:sz="4" w:space="0"/>
              <w:left w:val="nil"/>
              <w:bottom w:val="single" w:color="auto" w:sz="4" w:space="0"/>
              <w:right w:val="single" w:color="auto" w:sz="4" w:space="0"/>
            </w:tcBorders>
            <w:vAlign w:val="center"/>
          </w:tcPr>
          <w:p>
            <w:pPr>
              <w:rPr>
                <w:color w:val="000000" w:themeColor="text1"/>
              </w:rPr>
            </w:pPr>
          </w:p>
        </w:tc>
        <w:tc>
          <w:tcPr>
            <w:tcW w:w="1785" w:type="dxa"/>
            <w:tcBorders>
              <w:top w:val="single" w:color="auto" w:sz="4" w:space="0"/>
              <w:left w:val="nil"/>
              <w:bottom w:val="single" w:color="auto" w:sz="4" w:space="0"/>
              <w:right w:val="single" w:color="auto" w:sz="4" w:space="0"/>
            </w:tcBorders>
            <w:vAlign w:val="center"/>
          </w:tcPr>
          <w:p>
            <w:pPr>
              <w:rPr>
                <w:color w:val="000000" w:themeColor="text1"/>
              </w:rPr>
            </w:pPr>
          </w:p>
        </w:tc>
      </w:tr>
    </w:tbl>
    <w:p>
      <w:pPr>
        <w:snapToGrid w:val="0"/>
        <w:spacing w:before="50" w:after="50"/>
        <w:ind w:firstLine="600" w:firstLineChars="250"/>
        <w:rPr>
          <w:rFonts w:eastAsia="黑体"/>
          <w:color w:val="000000" w:themeColor="text1"/>
          <w:sz w:val="32"/>
          <w:szCs w:val="32"/>
        </w:rPr>
      </w:pPr>
      <w:r>
        <w:rPr>
          <w:rFonts w:hint="eastAsia"/>
          <w:color w:val="000000" w:themeColor="text1"/>
          <w:sz w:val="24"/>
          <w:szCs w:val="24"/>
        </w:rPr>
        <w:t>注：可对照评分标准。</w:t>
      </w:r>
      <w:r>
        <w:rPr>
          <w:rFonts w:eastAsia="黑体"/>
          <w:color w:val="000000" w:themeColor="text1"/>
          <w:sz w:val="32"/>
          <w:szCs w:val="32"/>
        </w:rPr>
        <w:br w:type="page"/>
      </w:r>
    </w:p>
    <w:p>
      <w:pPr>
        <w:snapToGrid w:val="0"/>
        <w:spacing w:before="50" w:after="50"/>
        <w:jc w:val="center"/>
        <w:rPr>
          <w:rFonts w:eastAsia="黑体"/>
          <w:color w:val="000000" w:themeColor="text1"/>
          <w:sz w:val="32"/>
          <w:szCs w:val="32"/>
        </w:rPr>
      </w:pPr>
      <w:r>
        <w:rPr>
          <w:rFonts w:eastAsia="黑体"/>
          <w:color w:val="000000" w:themeColor="text1"/>
          <w:sz w:val="32"/>
          <w:szCs w:val="32"/>
        </w:rPr>
        <w:t>四、投标函（格式）</w:t>
      </w:r>
    </w:p>
    <w:p>
      <w:pPr>
        <w:pStyle w:val="43"/>
        <w:spacing w:before="0" w:after="0" w:line="420" w:lineRule="exact"/>
        <w:ind w:firstLine="0"/>
        <w:rPr>
          <w:rFonts w:ascii="Times New Roman" w:hAnsi="Times New Roman" w:cs="Times New Roman"/>
          <w:color w:val="000000" w:themeColor="text1"/>
          <w:kern w:val="2"/>
        </w:rPr>
      </w:pPr>
    </w:p>
    <w:p>
      <w:pPr>
        <w:pStyle w:val="43"/>
        <w:spacing w:before="0" w:after="0" w:line="440" w:lineRule="exact"/>
        <w:ind w:firstLine="0"/>
        <w:jc w:val="both"/>
        <w:rPr>
          <w:rFonts w:ascii="Times New Roman" w:hAnsi="Times New Roman" w:cs="Times New Roman"/>
          <w:color w:val="000000" w:themeColor="text1"/>
          <w:kern w:val="2"/>
        </w:rPr>
      </w:pPr>
      <w:r>
        <w:rPr>
          <w:rFonts w:ascii="Times New Roman" w:hAnsi="Times New Roman" w:cs="Times New Roman"/>
          <w:color w:val="000000" w:themeColor="text1"/>
          <w:kern w:val="2"/>
        </w:rPr>
        <w:t>致：盐城幼儿师范高等专科学校</w:t>
      </w:r>
    </w:p>
    <w:p>
      <w:pPr>
        <w:pStyle w:val="43"/>
        <w:spacing w:before="0" w:after="0" w:line="440" w:lineRule="exact"/>
        <w:ind w:firstLineChars="200"/>
        <w:jc w:val="both"/>
        <w:rPr>
          <w:rFonts w:ascii="Times New Roman" w:hAnsi="Times New Roman" w:cs="Times New Roman"/>
          <w:color w:val="000000" w:themeColor="text1"/>
          <w:kern w:val="2"/>
        </w:rPr>
      </w:pPr>
      <w:r>
        <w:rPr>
          <w:rFonts w:ascii="Times New Roman" w:hAnsi="Times New Roman" w:cs="Times New Roman"/>
          <w:color w:val="000000" w:themeColor="text1"/>
          <w:kern w:val="2"/>
        </w:rPr>
        <w:t>根据贵方的号投标文件，正式授权下述签字人_________________(姓名)代表我方______________（投标人的名称），全权处理本次项目投标的有关事宜。</w:t>
      </w:r>
    </w:p>
    <w:p>
      <w:pPr>
        <w:pStyle w:val="43"/>
        <w:spacing w:before="0" w:after="0" w:line="440" w:lineRule="exact"/>
        <w:ind w:firstLineChars="200"/>
        <w:jc w:val="both"/>
        <w:rPr>
          <w:rFonts w:ascii="Times New Roman" w:hAnsi="Times New Roman" w:cs="Times New Roman"/>
          <w:color w:val="000000" w:themeColor="text1"/>
          <w:kern w:val="2"/>
        </w:rPr>
      </w:pPr>
      <w:r>
        <w:rPr>
          <w:rFonts w:ascii="Times New Roman" w:hAnsi="Times New Roman" w:cs="Times New Roman"/>
          <w:color w:val="000000" w:themeColor="text1"/>
          <w:kern w:val="2"/>
        </w:rPr>
        <w:t>据此函，__________签字人兹宣布同意如下：</w:t>
      </w:r>
    </w:p>
    <w:p>
      <w:pPr>
        <w:pStyle w:val="43"/>
        <w:spacing w:before="0" w:after="0" w:line="440" w:lineRule="exact"/>
        <w:jc w:val="both"/>
        <w:rPr>
          <w:rFonts w:ascii="Times New Roman" w:hAnsi="Times New Roman" w:cs="Times New Roman"/>
          <w:color w:val="000000" w:themeColor="text1"/>
          <w:kern w:val="2"/>
        </w:rPr>
      </w:pPr>
      <w:r>
        <w:rPr>
          <w:rFonts w:ascii="Times New Roman" w:hAnsi="Times New Roman" w:cs="Times New Roman"/>
          <w:color w:val="000000" w:themeColor="text1"/>
          <w:kern w:val="2"/>
        </w:rPr>
        <w:t>1.按投标文件规定的各项要求，向买方提供所需货物与服务。</w:t>
      </w:r>
    </w:p>
    <w:p>
      <w:pPr>
        <w:pStyle w:val="43"/>
        <w:spacing w:before="0" w:after="0" w:line="440" w:lineRule="exact"/>
        <w:ind w:firstLineChars="200"/>
        <w:jc w:val="both"/>
        <w:rPr>
          <w:rFonts w:ascii="Times New Roman" w:hAnsi="Times New Roman" w:cs="Times New Roman"/>
          <w:color w:val="000000" w:themeColor="text1"/>
          <w:kern w:val="2"/>
        </w:rPr>
      </w:pPr>
      <w:r>
        <w:rPr>
          <w:rFonts w:ascii="Times New Roman" w:hAnsi="Times New Roman" w:cs="Times New Roman"/>
          <w:color w:val="000000" w:themeColor="text1"/>
          <w:kern w:val="2"/>
        </w:rPr>
        <w:t>2.我们完全理解贵方不一定将合同授予最低报价的投标人。</w:t>
      </w:r>
    </w:p>
    <w:p>
      <w:pPr>
        <w:pStyle w:val="43"/>
        <w:spacing w:before="0" w:after="0" w:line="440" w:lineRule="exact"/>
        <w:ind w:firstLineChars="200"/>
        <w:jc w:val="both"/>
        <w:rPr>
          <w:rFonts w:ascii="Times New Roman" w:hAnsi="Times New Roman" w:cs="Times New Roman"/>
          <w:color w:val="000000" w:themeColor="text1"/>
          <w:kern w:val="2"/>
        </w:rPr>
      </w:pPr>
      <w:r>
        <w:rPr>
          <w:rFonts w:ascii="Times New Roman" w:hAnsi="Times New Roman" w:cs="Times New Roman"/>
          <w:color w:val="000000" w:themeColor="text1"/>
          <w:kern w:val="2"/>
        </w:rPr>
        <w:t>3.我们已详细审核全部投标文件及其有效补充文件，我们知道必须放弃提出含糊不清或误解问题的权利。</w:t>
      </w:r>
    </w:p>
    <w:p>
      <w:pPr>
        <w:pStyle w:val="43"/>
        <w:spacing w:before="0" w:after="0" w:line="440" w:lineRule="exact"/>
        <w:jc w:val="both"/>
        <w:rPr>
          <w:rFonts w:ascii="Times New Roman" w:hAnsi="Times New Roman" w:cs="Times New Roman"/>
          <w:color w:val="000000" w:themeColor="text1"/>
          <w:kern w:val="2"/>
        </w:rPr>
      </w:pPr>
      <w:r>
        <w:rPr>
          <w:rFonts w:ascii="Times New Roman" w:hAnsi="Times New Roman" w:cs="Times New Roman"/>
          <w:color w:val="000000" w:themeColor="text1"/>
          <w:kern w:val="2"/>
        </w:rPr>
        <w:t>4.我们同意从规定的开标日期起遵循本投标文件，并在规定的投标有效期期满之前均具有约束力。</w:t>
      </w:r>
    </w:p>
    <w:p>
      <w:pPr>
        <w:pStyle w:val="43"/>
        <w:spacing w:before="0" w:after="0" w:line="440" w:lineRule="exact"/>
        <w:jc w:val="both"/>
        <w:rPr>
          <w:rFonts w:ascii="Times New Roman" w:hAnsi="Times New Roman" w:cs="Times New Roman"/>
          <w:color w:val="000000" w:themeColor="text1"/>
          <w:kern w:val="2"/>
        </w:rPr>
      </w:pPr>
      <w:r>
        <w:rPr>
          <w:rFonts w:hint="eastAsia" w:ascii="Times New Roman" w:hAnsi="Times New Roman" w:cs="Times New Roman"/>
          <w:color w:val="000000" w:themeColor="text1"/>
          <w:kern w:val="2"/>
        </w:rPr>
        <w:t>5</w:t>
      </w:r>
      <w:r>
        <w:rPr>
          <w:rFonts w:ascii="Times New Roman" w:hAnsi="Times New Roman" w:cs="Times New Roman"/>
          <w:color w:val="000000" w:themeColor="text1"/>
          <w:kern w:val="2"/>
        </w:rPr>
        <w:t>.同意向贵方提供贵方可能另外要求的与投标有关的任何证据或资料，并保证我方已提供和将要提供的文件是真实的、准确的。</w:t>
      </w:r>
    </w:p>
    <w:p>
      <w:pPr>
        <w:pStyle w:val="43"/>
        <w:spacing w:before="0" w:after="0" w:line="440" w:lineRule="exact"/>
        <w:jc w:val="both"/>
        <w:rPr>
          <w:rFonts w:ascii="Times New Roman" w:hAnsi="Times New Roman" w:cs="Times New Roman"/>
          <w:color w:val="000000" w:themeColor="text1"/>
          <w:kern w:val="2"/>
        </w:rPr>
      </w:pPr>
      <w:r>
        <w:rPr>
          <w:rFonts w:hint="eastAsia" w:ascii="Times New Roman" w:hAnsi="Times New Roman" w:cs="Times New Roman"/>
          <w:color w:val="000000" w:themeColor="text1"/>
          <w:kern w:val="2"/>
        </w:rPr>
        <w:t>6</w:t>
      </w:r>
      <w:r>
        <w:rPr>
          <w:rFonts w:ascii="Times New Roman" w:hAnsi="Times New Roman" w:cs="Times New Roman"/>
          <w:color w:val="000000" w:themeColor="text1"/>
          <w:kern w:val="2"/>
        </w:rPr>
        <w:t>.一旦我方中标</w:t>
      </w:r>
      <w:r>
        <w:rPr>
          <w:rFonts w:hint="eastAsia" w:ascii="Times New Roman" w:hAnsi="Times New Roman" w:cs="Times New Roman"/>
          <w:color w:val="000000" w:themeColor="text1"/>
          <w:kern w:val="2"/>
        </w:rPr>
        <w:t>，</w:t>
      </w:r>
      <w:r>
        <w:rPr>
          <w:rFonts w:ascii="Times New Roman" w:hAnsi="Times New Roman" w:cs="Times New Roman"/>
          <w:color w:val="000000" w:themeColor="text1"/>
          <w:kern w:val="2"/>
        </w:rPr>
        <w:t>我方将根据招标文件的规定，严格履行合同的责任和义务,并保证在招标文件规定的时间完成项目，交付买方验收、使用。</w:t>
      </w:r>
    </w:p>
    <w:p>
      <w:pPr>
        <w:pStyle w:val="43"/>
        <w:spacing w:before="0" w:after="0" w:line="440" w:lineRule="exact"/>
        <w:ind w:left="425" w:firstLine="0"/>
        <w:jc w:val="both"/>
        <w:rPr>
          <w:rFonts w:ascii="Times New Roman" w:hAnsi="Times New Roman" w:cs="Times New Roman"/>
          <w:color w:val="000000" w:themeColor="text1"/>
          <w:kern w:val="2"/>
        </w:rPr>
      </w:pPr>
      <w:r>
        <w:rPr>
          <w:rFonts w:hint="eastAsia" w:ascii="Times New Roman" w:hAnsi="Times New Roman" w:cs="Times New Roman"/>
          <w:color w:val="000000" w:themeColor="text1"/>
          <w:kern w:val="2"/>
        </w:rPr>
        <w:t>7</w:t>
      </w:r>
      <w:r>
        <w:rPr>
          <w:rFonts w:ascii="Times New Roman" w:hAnsi="Times New Roman" w:cs="Times New Roman"/>
          <w:color w:val="000000" w:themeColor="text1"/>
          <w:kern w:val="2"/>
        </w:rPr>
        <w:t>.与本投标有关的正式通讯地址为：</w:t>
      </w:r>
    </w:p>
    <w:p>
      <w:pPr>
        <w:pStyle w:val="43"/>
        <w:spacing w:before="0" w:after="0" w:line="440" w:lineRule="exact"/>
        <w:ind w:left="420" w:leftChars="200" w:firstLineChars="200"/>
        <w:jc w:val="both"/>
        <w:rPr>
          <w:rFonts w:ascii="Times New Roman" w:hAnsi="Times New Roman" w:cs="Times New Roman"/>
          <w:color w:val="000000" w:themeColor="text1"/>
          <w:kern w:val="2"/>
        </w:rPr>
      </w:pPr>
      <w:r>
        <w:rPr>
          <w:rFonts w:ascii="Times New Roman" w:hAnsi="Times New Roman" w:cs="Times New Roman"/>
          <w:color w:val="000000" w:themeColor="text1"/>
          <w:kern w:val="2"/>
        </w:rPr>
        <w:t>地          址：</w:t>
      </w:r>
    </w:p>
    <w:p>
      <w:pPr>
        <w:pStyle w:val="43"/>
        <w:spacing w:before="0" w:after="0" w:line="440" w:lineRule="exact"/>
        <w:ind w:left="420" w:leftChars="200" w:firstLineChars="200"/>
        <w:jc w:val="both"/>
        <w:rPr>
          <w:rFonts w:ascii="Times New Roman" w:hAnsi="Times New Roman" w:cs="Times New Roman"/>
          <w:color w:val="000000" w:themeColor="text1"/>
          <w:kern w:val="2"/>
        </w:rPr>
      </w:pPr>
      <w:r>
        <w:rPr>
          <w:rFonts w:ascii="Times New Roman" w:hAnsi="Times New Roman" w:cs="Times New Roman"/>
          <w:color w:val="000000" w:themeColor="text1"/>
          <w:kern w:val="2"/>
        </w:rPr>
        <w:t>邮          编：</w:t>
      </w:r>
    </w:p>
    <w:p>
      <w:pPr>
        <w:pStyle w:val="43"/>
        <w:spacing w:before="0" w:after="0" w:line="440" w:lineRule="exact"/>
        <w:ind w:left="420" w:leftChars="200" w:firstLineChars="200"/>
        <w:jc w:val="both"/>
        <w:rPr>
          <w:rFonts w:ascii="Times New Roman" w:hAnsi="Times New Roman" w:cs="Times New Roman"/>
          <w:color w:val="000000" w:themeColor="text1"/>
          <w:kern w:val="2"/>
        </w:rPr>
      </w:pPr>
      <w:r>
        <w:rPr>
          <w:rFonts w:ascii="Times New Roman" w:hAnsi="Times New Roman" w:cs="Times New Roman"/>
          <w:color w:val="000000" w:themeColor="text1"/>
          <w:kern w:val="2"/>
        </w:rPr>
        <w:t>电          话：</w:t>
      </w:r>
    </w:p>
    <w:p>
      <w:pPr>
        <w:pStyle w:val="43"/>
        <w:spacing w:before="0" w:after="0" w:line="440" w:lineRule="exact"/>
        <w:ind w:left="420" w:leftChars="200" w:firstLineChars="200"/>
        <w:jc w:val="both"/>
        <w:rPr>
          <w:rFonts w:ascii="Times New Roman" w:hAnsi="Times New Roman" w:cs="Times New Roman"/>
          <w:color w:val="000000" w:themeColor="text1"/>
          <w:kern w:val="2"/>
        </w:rPr>
      </w:pPr>
      <w:r>
        <w:rPr>
          <w:rFonts w:ascii="Times New Roman" w:hAnsi="Times New Roman" w:cs="Times New Roman"/>
          <w:color w:val="000000" w:themeColor="text1"/>
          <w:kern w:val="2"/>
        </w:rPr>
        <w:t>传          真：</w:t>
      </w:r>
    </w:p>
    <w:p>
      <w:pPr>
        <w:pStyle w:val="43"/>
        <w:spacing w:before="0" w:after="0" w:line="440" w:lineRule="exact"/>
        <w:ind w:left="420" w:leftChars="200" w:firstLineChars="200"/>
        <w:jc w:val="both"/>
        <w:rPr>
          <w:rFonts w:ascii="Times New Roman" w:hAnsi="Times New Roman" w:cs="Times New Roman"/>
          <w:color w:val="000000" w:themeColor="text1"/>
          <w:kern w:val="2"/>
        </w:rPr>
      </w:pPr>
      <w:r>
        <w:rPr>
          <w:rFonts w:ascii="Times New Roman" w:hAnsi="Times New Roman" w:cs="Times New Roman"/>
          <w:color w:val="000000" w:themeColor="text1"/>
          <w:kern w:val="2"/>
        </w:rPr>
        <w:t>投标人开户行：</w:t>
      </w:r>
    </w:p>
    <w:p>
      <w:pPr>
        <w:pStyle w:val="43"/>
        <w:spacing w:before="0" w:after="0" w:line="440" w:lineRule="exact"/>
        <w:ind w:left="420" w:leftChars="200" w:firstLineChars="200"/>
        <w:jc w:val="both"/>
        <w:rPr>
          <w:rFonts w:ascii="Times New Roman" w:hAnsi="Times New Roman" w:cs="Times New Roman"/>
          <w:color w:val="000000" w:themeColor="text1"/>
          <w:kern w:val="2"/>
        </w:rPr>
      </w:pPr>
      <w:r>
        <w:rPr>
          <w:rFonts w:ascii="Times New Roman" w:hAnsi="Times New Roman" w:cs="Times New Roman"/>
          <w:color w:val="000000" w:themeColor="text1"/>
          <w:kern w:val="2"/>
        </w:rPr>
        <w:t xml:space="preserve">账          户： </w:t>
      </w:r>
    </w:p>
    <w:p>
      <w:pPr>
        <w:pStyle w:val="43"/>
        <w:spacing w:before="0" w:after="0" w:line="440" w:lineRule="exact"/>
        <w:ind w:left="420" w:leftChars="200" w:firstLineChars="200"/>
        <w:jc w:val="both"/>
        <w:rPr>
          <w:rFonts w:ascii="Times New Roman" w:hAnsi="Times New Roman" w:cs="Times New Roman"/>
          <w:color w:val="000000" w:themeColor="text1"/>
          <w:kern w:val="2"/>
        </w:rPr>
      </w:pPr>
      <w:r>
        <w:rPr>
          <w:rFonts w:ascii="Times New Roman" w:hAnsi="Times New Roman" w:cs="Times New Roman"/>
          <w:color w:val="000000" w:themeColor="text1"/>
          <w:kern w:val="2"/>
        </w:rPr>
        <w:t xml:space="preserve">投标人授权代表姓名（签字）： </w:t>
      </w:r>
    </w:p>
    <w:p>
      <w:pPr>
        <w:pStyle w:val="43"/>
        <w:spacing w:before="0" w:after="0" w:line="440" w:lineRule="exact"/>
        <w:ind w:left="420" w:leftChars="200" w:firstLineChars="200"/>
        <w:jc w:val="both"/>
        <w:rPr>
          <w:rFonts w:ascii="Times New Roman" w:hAnsi="Times New Roman" w:cs="Times New Roman"/>
          <w:color w:val="000000" w:themeColor="text1"/>
          <w:kern w:val="2"/>
        </w:rPr>
      </w:pPr>
      <w:r>
        <w:rPr>
          <w:rFonts w:ascii="Times New Roman" w:hAnsi="Times New Roman" w:cs="Times New Roman"/>
          <w:color w:val="000000" w:themeColor="text1"/>
          <w:kern w:val="2"/>
        </w:rPr>
        <w:t xml:space="preserve">投标人名称（公章）： </w:t>
      </w:r>
    </w:p>
    <w:p>
      <w:pPr>
        <w:pStyle w:val="43"/>
        <w:spacing w:before="0" w:after="0" w:line="440" w:lineRule="exact"/>
        <w:ind w:left="420" w:leftChars="200" w:firstLineChars="200"/>
        <w:jc w:val="both"/>
        <w:rPr>
          <w:rFonts w:ascii="Times New Roman" w:hAnsi="Times New Roman" w:cs="Times New Roman"/>
          <w:color w:val="000000" w:themeColor="text1"/>
          <w:kern w:val="2"/>
        </w:rPr>
      </w:pPr>
      <w:r>
        <w:rPr>
          <w:rFonts w:ascii="Times New Roman" w:hAnsi="Times New Roman" w:cs="Times New Roman"/>
          <w:color w:val="000000" w:themeColor="text1"/>
          <w:kern w:val="2"/>
        </w:rPr>
        <w:t>日           期：________年____月____日</w:t>
      </w:r>
    </w:p>
    <w:p>
      <w:pPr>
        <w:jc w:val="center"/>
        <w:rPr>
          <w:color w:val="000000" w:themeColor="text1"/>
          <w:sz w:val="32"/>
          <w:szCs w:val="32"/>
        </w:rPr>
      </w:pPr>
    </w:p>
    <w:p>
      <w:pPr>
        <w:jc w:val="left"/>
        <w:rPr>
          <w:rFonts w:eastAsia="黑体"/>
          <w:color w:val="000000" w:themeColor="text1"/>
          <w:sz w:val="32"/>
          <w:szCs w:val="32"/>
        </w:rPr>
      </w:pPr>
      <w:r>
        <w:rPr>
          <w:rFonts w:eastAsia="黑体"/>
          <w:color w:val="000000" w:themeColor="text1"/>
          <w:szCs w:val="32"/>
        </w:rPr>
        <w:br w:type="page"/>
      </w:r>
    </w:p>
    <w:p>
      <w:pPr>
        <w:snapToGrid w:val="0"/>
        <w:spacing w:before="50" w:after="50"/>
        <w:jc w:val="center"/>
        <w:rPr>
          <w:rFonts w:eastAsia="黑体"/>
          <w:color w:val="000000" w:themeColor="text1"/>
          <w:sz w:val="32"/>
          <w:szCs w:val="32"/>
        </w:rPr>
      </w:pPr>
      <w:r>
        <w:rPr>
          <w:rFonts w:eastAsia="黑体"/>
          <w:color w:val="000000" w:themeColor="text1"/>
          <w:sz w:val="32"/>
          <w:szCs w:val="32"/>
        </w:rPr>
        <w:t>五、开标一览表（格式）</w:t>
      </w:r>
    </w:p>
    <w:p>
      <w:pPr>
        <w:snapToGrid w:val="0"/>
        <w:spacing w:before="50" w:after="50"/>
        <w:jc w:val="center"/>
        <w:rPr>
          <w:color w:val="000000" w:themeColor="text1"/>
          <w:sz w:val="32"/>
          <w:szCs w:val="32"/>
        </w:rPr>
      </w:pPr>
    </w:p>
    <w:tbl>
      <w:tblPr>
        <w:tblStyle w:val="21"/>
        <w:tblW w:w="91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00"/>
        <w:gridCol w:w="64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700" w:type="dxa"/>
            <w:tcBorders>
              <w:top w:val="single" w:color="auto" w:sz="4" w:space="0"/>
              <w:left w:val="single" w:color="auto" w:sz="4" w:space="0"/>
              <w:bottom w:val="single" w:color="auto" w:sz="4" w:space="0"/>
              <w:right w:val="single" w:color="auto" w:sz="4" w:space="0"/>
            </w:tcBorders>
            <w:vAlign w:val="center"/>
          </w:tcPr>
          <w:p>
            <w:pPr>
              <w:ind w:firstLine="482" w:firstLineChars="200"/>
              <w:rPr>
                <w:b/>
                <w:bCs/>
                <w:color w:val="000000" w:themeColor="text1"/>
                <w:sz w:val="24"/>
                <w:szCs w:val="24"/>
              </w:rPr>
            </w:pPr>
            <w:r>
              <w:rPr>
                <w:b/>
                <w:bCs/>
                <w:color w:val="000000" w:themeColor="text1"/>
                <w:sz w:val="24"/>
                <w:szCs w:val="24"/>
              </w:rPr>
              <w:t>项 目 编 号</w:t>
            </w:r>
          </w:p>
        </w:tc>
        <w:tc>
          <w:tcPr>
            <w:tcW w:w="6499" w:type="dxa"/>
            <w:tcBorders>
              <w:top w:val="single" w:color="auto" w:sz="4" w:space="0"/>
              <w:left w:val="nil"/>
              <w:bottom w:val="single" w:color="auto" w:sz="4" w:space="0"/>
              <w:right w:val="single" w:color="auto" w:sz="4" w:space="0"/>
            </w:tcBorders>
            <w:vAlign w:val="center"/>
          </w:tcPr>
          <w:p>
            <w:pPr>
              <w:jc w:val="left"/>
              <w:rPr>
                <w:b/>
                <w:bCs/>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700" w:type="dxa"/>
            <w:tcBorders>
              <w:top w:val="single" w:color="auto" w:sz="4" w:space="0"/>
              <w:left w:val="single" w:color="auto" w:sz="4" w:space="0"/>
              <w:bottom w:val="single" w:color="auto" w:sz="4" w:space="0"/>
              <w:right w:val="single" w:color="auto" w:sz="4" w:space="0"/>
            </w:tcBorders>
            <w:vAlign w:val="center"/>
          </w:tcPr>
          <w:p>
            <w:pPr>
              <w:ind w:firstLine="482" w:firstLineChars="200"/>
              <w:rPr>
                <w:b/>
                <w:bCs/>
                <w:color w:val="000000" w:themeColor="text1"/>
                <w:sz w:val="24"/>
                <w:szCs w:val="24"/>
              </w:rPr>
            </w:pPr>
            <w:r>
              <w:rPr>
                <w:b/>
                <w:bCs/>
                <w:color w:val="000000" w:themeColor="text1"/>
                <w:sz w:val="24"/>
                <w:szCs w:val="24"/>
              </w:rPr>
              <w:t>项 目 名 称</w:t>
            </w:r>
          </w:p>
        </w:tc>
        <w:tc>
          <w:tcPr>
            <w:tcW w:w="6499" w:type="dxa"/>
            <w:tcBorders>
              <w:top w:val="single" w:color="auto" w:sz="4" w:space="0"/>
              <w:left w:val="nil"/>
              <w:bottom w:val="single" w:color="auto" w:sz="4" w:space="0"/>
              <w:right w:val="single" w:color="auto" w:sz="4" w:space="0"/>
            </w:tcBorders>
            <w:vAlign w:val="center"/>
          </w:tcPr>
          <w:p>
            <w:pPr>
              <w:rPr>
                <w:b/>
                <w:bCs/>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21" w:hRule="atLeast"/>
        </w:trPr>
        <w:tc>
          <w:tcPr>
            <w:tcW w:w="9199" w:type="dxa"/>
            <w:gridSpan w:val="2"/>
            <w:tcBorders>
              <w:top w:val="single" w:color="auto" w:sz="4" w:space="0"/>
              <w:left w:val="single" w:color="auto" w:sz="4" w:space="0"/>
              <w:bottom w:val="single" w:color="auto" w:sz="4" w:space="0"/>
              <w:right w:val="single" w:color="auto" w:sz="4" w:space="0"/>
            </w:tcBorders>
            <w:vAlign w:val="center"/>
          </w:tcPr>
          <w:p>
            <w:pPr>
              <w:rPr>
                <w:b/>
                <w:bCs/>
                <w:color w:val="000000" w:themeColor="text1"/>
                <w:sz w:val="24"/>
                <w:szCs w:val="24"/>
              </w:rPr>
            </w:pPr>
          </w:p>
          <w:p>
            <w:pPr>
              <w:rPr>
                <w:b/>
                <w:bCs/>
                <w:color w:val="000000" w:themeColor="text1"/>
                <w:sz w:val="24"/>
                <w:szCs w:val="24"/>
              </w:rPr>
            </w:pPr>
            <w:r>
              <w:rPr>
                <w:b/>
                <w:bCs/>
                <w:color w:val="000000" w:themeColor="text1"/>
                <w:sz w:val="24"/>
                <w:szCs w:val="24"/>
              </w:rPr>
              <w:t>投标</w:t>
            </w:r>
            <w:r>
              <w:rPr>
                <w:rFonts w:hint="eastAsia"/>
                <w:b/>
                <w:bCs/>
                <w:color w:val="000000" w:themeColor="text1"/>
                <w:sz w:val="24"/>
                <w:szCs w:val="24"/>
              </w:rPr>
              <w:t>价</w:t>
            </w:r>
            <w:r>
              <w:rPr>
                <w:b/>
                <w:bCs/>
                <w:color w:val="000000" w:themeColor="text1"/>
                <w:sz w:val="24"/>
                <w:szCs w:val="24"/>
              </w:rPr>
              <w:t>：</w:t>
            </w:r>
            <w:r>
              <w:rPr>
                <w:rFonts w:hint="eastAsia"/>
                <w:b/>
                <w:bCs/>
                <w:color w:val="000000" w:themeColor="text1"/>
                <w:sz w:val="24"/>
                <w:szCs w:val="24"/>
              </w:rPr>
              <w:t xml:space="preserve">     实洋：大写</w:t>
            </w:r>
            <w:bookmarkStart w:id="130" w:name="OLE_LINK1"/>
            <w:bookmarkStart w:id="131" w:name="OLE_LINK2"/>
            <w:r>
              <w:rPr>
                <w:rFonts w:hint="eastAsia"/>
                <w:b/>
                <w:bCs/>
                <w:color w:val="000000" w:themeColor="text1"/>
                <w:sz w:val="24"/>
                <w:szCs w:val="24"/>
              </w:rPr>
              <w:t>：</w:t>
            </w:r>
            <w:bookmarkEnd w:id="130"/>
            <w:bookmarkEnd w:id="131"/>
            <w:r>
              <w:rPr>
                <w:rFonts w:hint="eastAsia"/>
                <w:b/>
                <w:bCs/>
                <w:color w:val="000000" w:themeColor="text1"/>
                <w:sz w:val="24"/>
                <w:szCs w:val="24"/>
              </w:rPr>
              <w:t>柒拾万元整        （小写）:70万元整</w:t>
            </w:r>
          </w:p>
          <w:p>
            <w:pPr>
              <w:pStyle w:val="25"/>
            </w:pPr>
          </w:p>
          <w:p>
            <w:pPr>
              <w:pStyle w:val="25"/>
            </w:pPr>
          </w:p>
          <w:p>
            <w:pPr>
              <w:rPr>
                <w:b/>
                <w:bCs/>
                <w:color w:val="000000" w:themeColor="text1"/>
                <w:sz w:val="24"/>
                <w:szCs w:val="24"/>
              </w:rPr>
            </w:pPr>
            <w:r>
              <w:rPr>
                <w:rFonts w:hint="eastAsia"/>
                <w:b/>
                <w:bCs/>
                <w:color w:val="000000" w:themeColor="text1"/>
              </w:rPr>
              <w:t xml:space="preserve"> </w:t>
            </w:r>
            <w:r>
              <w:rPr>
                <w:rFonts w:hint="eastAsia"/>
                <w:b/>
                <w:bCs/>
                <w:color w:val="000000" w:themeColor="text1"/>
                <w:sz w:val="24"/>
                <w:szCs w:val="24"/>
              </w:rPr>
              <w:t xml:space="preserve"> 实洋/码洋=_______________（</w:t>
            </w:r>
            <w:r>
              <w:rPr>
                <w:rFonts w:hint="eastAsia"/>
                <w:b/>
                <w:bCs/>
                <w:color w:val="000000"/>
                <w:sz w:val="24"/>
                <w:szCs w:val="24"/>
              </w:rPr>
              <w:t>保留小数点后两位</w:t>
            </w:r>
            <w:r>
              <w:rPr>
                <w:rFonts w:hint="eastAsia"/>
                <w:b/>
                <w:bCs/>
                <w:color w:val="000000" w:themeColor="text1"/>
                <w:sz w:val="24"/>
                <w:szCs w:val="24"/>
              </w:rPr>
              <w:t>）</w:t>
            </w:r>
          </w:p>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7" w:hRule="atLeast"/>
        </w:trPr>
        <w:tc>
          <w:tcPr>
            <w:tcW w:w="9199" w:type="dxa"/>
            <w:gridSpan w:val="2"/>
            <w:tcBorders>
              <w:top w:val="single" w:color="auto" w:sz="4" w:space="0"/>
              <w:left w:val="single" w:color="auto" w:sz="4" w:space="0"/>
              <w:bottom w:val="single" w:color="auto" w:sz="4" w:space="0"/>
              <w:right w:val="single" w:color="auto" w:sz="4" w:space="0"/>
            </w:tcBorders>
            <w:vAlign w:val="center"/>
          </w:tcPr>
          <w:p>
            <w:pPr>
              <w:rPr>
                <w:b/>
                <w:bCs/>
                <w:color w:val="000000" w:themeColor="text1"/>
                <w:sz w:val="24"/>
                <w:szCs w:val="24"/>
              </w:rPr>
            </w:pPr>
            <w:r>
              <w:rPr>
                <w:b/>
                <w:bCs/>
                <w:color w:val="000000" w:themeColor="text1"/>
              </w:rPr>
              <w:t>是否提供《中小企业声明函》：  是/否              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trPr>
        <w:tc>
          <w:tcPr>
            <w:tcW w:w="9199" w:type="dxa"/>
            <w:gridSpan w:val="2"/>
            <w:tcBorders>
              <w:top w:val="single" w:color="auto" w:sz="4" w:space="0"/>
              <w:left w:val="single" w:color="auto" w:sz="4" w:space="0"/>
              <w:bottom w:val="single" w:color="auto" w:sz="4" w:space="0"/>
              <w:right w:val="single" w:color="auto" w:sz="4" w:space="0"/>
            </w:tcBorders>
          </w:tcPr>
          <w:p>
            <w:pPr>
              <w:rPr>
                <w:b/>
                <w:bCs/>
                <w:color w:val="000000" w:themeColor="text1"/>
                <w:sz w:val="24"/>
                <w:szCs w:val="24"/>
              </w:rPr>
            </w:pPr>
            <w:r>
              <w:rPr>
                <w:b/>
                <w:bCs/>
                <w:color w:val="000000" w:themeColor="text1"/>
              </w:rPr>
              <w:t xml:space="preserve">项目实施时间（供期或工期）： </w:t>
            </w:r>
          </w:p>
        </w:tc>
      </w:tr>
    </w:tbl>
    <w:p>
      <w:pPr>
        <w:spacing w:line="240" w:lineRule="atLeast"/>
        <w:rPr>
          <w:color w:val="000000" w:themeColor="text1"/>
        </w:rPr>
      </w:pPr>
      <w:r>
        <w:rPr>
          <w:color w:val="000000" w:themeColor="text1"/>
        </w:rPr>
        <w:t>填写说明：</w:t>
      </w:r>
    </w:p>
    <w:p>
      <w:pPr>
        <w:spacing w:line="240" w:lineRule="atLeast"/>
        <w:rPr>
          <w:color w:val="FF0000"/>
          <w:sz w:val="24"/>
          <w:szCs w:val="24"/>
        </w:rPr>
      </w:pPr>
      <w:r>
        <w:rPr>
          <w:rFonts w:hint="eastAsia"/>
          <w:color w:val="000000" w:themeColor="text1"/>
          <w:sz w:val="24"/>
          <w:szCs w:val="24"/>
        </w:rPr>
        <w:t xml:space="preserve">1. </w:t>
      </w:r>
      <w:r>
        <w:rPr>
          <w:color w:val="FF0000"/>
          <w:sz w:val="24"/>
          <w:szCs w:val="24"/>
        </w:rPr>
        <w:t>开标一览表不得填报选择性报价，否则将作为无效投标；</w:t>
      </w:r>
    </w:p>
    <w:p>
      <w:pPr>
        <w:spacing w:line="240" w:lineRule="atLeast"/>
        <w:rPr>
          <w:color w:val="000000" w:themeColor="text1"/>
          <w:sz w:val="24"/>
          <w:szCs w:val="24"/>
        </w:rPr>
      </w:pPr>
      <w:r>
        <w:rPr>
          <w:rFonts w:hint="eastAsia"/>
          <w:color w:val="000000" w:themeColor="text1"/>
          <w:sz w:val="24"/>
          <w:szCs w:val="24"/>
        </w:rPr>
        <w:t xml:space="preserve">2. </w:t>
      </w:r>
      <w:r>
        <w:rPr>
          <w:color w:val="000000" w:themeColor="text1"/>
          <w:sz w:val="24"/>
          <w:szCs w:val="24"/>
        </w:rPr>
        <w:t>开标一览表中报价与投标分项明细报价表中不符时时，以开标一览表为准；</w:t>
      </w:r>
    </w:p>
    <w:p>
      <w:pPr>
        <w:spacing w:line="240" w:lineRule="atLeast"/>
        <w:rPr>
          <w:b/>
          <w:bCs/>
          <w:color w:val="000000" w:themeColor="text1"/>
          <w:sz w:val="24"/>
          <w:szCs w:val="24"/>
        </w:rPr>
      </w:pPr>
      <w:r>
        <w:rPr>
          <w:rFonts w:hint="eastAsia" w:cs="宋体"/>
          <w:b/>
          <w:bCs/>
          <w:color w:val="000000" w:themeColor="text1"/>
          <w:sz w:val="24"/>
          <w:szCs w:val="24"/>
        </w:rPr>
        <w:t>3. ★</w:t>
      </w:r>
      <w:r>
        <w:rPr>
          <w:b/>
          <w:bCs/>
          <w:color w:val="000000" w:themeColor="text1"/>
          <w:sz w:val="24"/>
          <w:szCs w:val="24"/>
        </w:rPr>
        <w:t>如服务类项目采购人可根据项目需求特点自行制作。</w:t>
      </w:r>
    </w:p>
    <w:p>
      <w:pPr>
        <w:spacing w:line="240" w:lineRule="atLeast"/>
        <w:rPr>
          <w:color w:val="000000" w:themeColor="text1"/>
        </w:rPr>
      </w:pPr>
      <w:r>
        <w:rPr>
          <w:rFonts w:hint="eastAsia"/>
          <w:color w:val="000000" w:themeColor="text1"/>
        </w:rPr>
        <w:t xml:space="preserve">4. </w:t>
      </w:r>
      <w:r>
        <w:rPr>
          <w:color w:val="000000" w:themeColor="text1"/>
        </w:rPr>
        <w:t>投标折扣=投标实洋/投标总码洋</w:t>
      </w:r>
    </w:p>
    <w:p>
      <w:pPr>
        <w:ind w:firstLine="2640"/>
        <w:rPr>
          <w:color w:val="000000" w:themeColor="text1"/>
          <w:sz w:val="44"/>
          <w:szCs w:val="44"/>
        </w:rPr>
      </w:pPr>
    </w:p>
    <w:p>
      <w:pPr>
        <w:ind w:firstLine="2640"/>
        <w:rPr>
          <w:color w:val="000000" w:themeColor="text1"/>
          <w:sz w:val="24"/>
          <w:szCs w:val="24"/>
        </w:rPr>
      </w:pPr>
    </w:p>
    <w:p>
      <w:pPr>
        <w:spacing w:line="348" w:lineRule="auto"/>
        <w:ind w:firstLine="2850"/>
        <w:jc w:val="center"/>
        <w:rPr>
          <w:color w:val="000000" w:themeColor="text1"/>
          <w:sz w:val="24"/>
          <w:szCs w:val="24"/>
        </w:rPr>
      </w:pPr>
      <w:r>
        <w:rPr>
          <w:color w:val="000000" w:themeColor="text1"/>
          <w:sz w:val="24"/>
          <w:szCs w:val="24"/>
        </w:rPr>
        <w:t>投标供应商（单位公章）：</w:t>
      </w:r>
    </w:p>
    <w:p>
      <w:pPr>
        <w:spacing w:line="348" w:lineRule="auto"/>
        <w:ind w:firstLine="2850"/>
        <w:jc w:val="center"/>
        <w:rPr>
          <w:color w:val="000000" w:themeColor="text1"/>
          <w:sz w:val="24"/>
          <w:szCs w:val="24"/>
        </w:rPr>
      </w:pPr>
      <w:r>
        <w:rPr>
          <w:color w:val="000000" w:themeColor="text1"/>
          <w:sz w:val="24"/>
          <w:szCs w:val="24"/>
        </w:rPr>
        <w:t>法定代表人或授权代表（签字或盖章）：</w:t>
      </w:r>
    </w:p>
    <w:p>
      <w:pPr>
        <w:spacing w:line="348" w:lineRule="auto"/>
        <w:ind w:firstLine="2850"/>
        <w:jc w:val="center"/>
        <w:rPr>
          <w:color w:val="000000" w:themeColor="text1"/>
          <w:sz w:val="24"/>
          <w:szCs w:val="24"/>
        </w:rPr>
      </w:pPr>
      <w:r>
        <w:rPr>
          <w:color w:val="000000" w:themeColor="text1"/>
          <w:sz w:val="24"/>
          <w:szCs w:val="24"/>
        </w:rPr>
        <w:t>日期：年月日</w:t>
      </w:r>
    </w:p>
    <w:p>
      <w:pPr>
        <w:jc w:val="center"/>
        <w:rPr>
          <w:b/>
          <w:bCs/>
          <w:color w:val="000000" w:themeColor="text1"/>
          <w:sz w:val="32"/>
          <w:szCs w:val="32"/>
        </w:rPr>
      </w:pPr>
    </w:p>
    <w:p>
      <w:pPr>
        <w:jc w:val="center"/>
        <w:rPr>
          <w:b/>
          <w:bCs/>
          <w:color w:val="000000" w:themeColor="text1"/>
          <w:sz w:val="32"/>
          <w:szCs w:val="32"/>
        </w:rPr>
      </w:pPr>
    </w:p>
    <w:p>
      <w:pPr>
        <w:snapToGrid w:val="0"/>
        <w:spacing w:before="50" w:after="50"/>
        <w:jc w:val="center"/>
        <w:rPr>
          <w:rFonts w:eastAsia="黑体"/>
          <w:color w:val="000000" w:themeColor="text1"/>
          <w:sz w:val="32"/>
          <w:szCs w:val="32"/>
        </w:rPr>
      </w:pPr>
      <w:r>
        <w:rPr>
          <w:color w:val="000000" w:themeColor="text1"/>
          <w:sz w:val="32"/>
          <w:szCs w:val="32"/>
        </w:rPr>
        <w:br w:type="page"/>
      </w:r>
      <w:r>
        <w:rPr>
          <w:rFonts w:hint="eastAsia" w:eastAsia="黑体"/>
          <w:color w:val="000000" w:themeColor="text1"/>
          <w:sz w:val="32"/>
          <w:szCs w:val="32"/>
        </w:rPr>
        <w:t>六</w:t>
      </w:r>
      <w:r>
        <w:rPr>
          <w:rFonts w:eastAsia="黑体"/>
          <w:color w:val="000000" w:themeColor="text1"/>
          <w:sz w:val="32"/>
          <w:szCs w:val="32"/>
        </w:rPr>
        <w:t>、技术参数响应及偏离表</w:t>
      </w:r>
    </w:p>
    <w:p>
      <w:pPr>
        <w:spacing w:before="156" w:beforeLines="50" w:after="156" w:afterLines="50" w:line="360" w:lineRule="auto"/>
        <w:rPr>
          <w:b/>
          <w:bCs/>
          <w:color w:val="000000" w:themeColor="text1"/>
          <w:sz w:val="24"/>
          <w:szCs w:val="24"/>
        </w:rPr>
      </w:pPr>
      <w:r>
        <w:rPr>
          <w:b/>
          <w:bCs/>
          <w:color w:val="000000" w:themeColor="text1"/>
          <w:sz w:val="24"/>
          <w:szCs w:val="24"/>
        </w:rPr>
        <w:t>参加投标供应商全称（加盖公章）：</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4"/>
        <w:gridCol w:w="2852"/>
        <w:gridCol w:w="2852"/>
        <w:gridCol w:w="1308"/>
        <w:gridCol w:w="11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84" w:type="dxa"/>
            <w:noWrap w:val="0"/>
            <w:vAlign w:val="center"/>
          </w:tcPr>
          <w:p>
            <w:pPr>
              <w:jc w:val="center"/>
              <w:rPr>
                <w:rFonts w:hint="eastAsia" w:ascii="宋体" w:hAnsi="宋体"/>
                <w:sz w:val="24"/>
                <w:szCs w:val="24"/>
              </w:rPr>
            </w:pPr>
            <w:r>
              <w:rPr>
                <w:rFonts w:hint="eastAsia" w:ascii="宋体" w:hAnsi="宋体"/>
                <w:sz w:val="24"/>
                <w:szCs w:val="24"/>
              </w:rPr>
              <w:t>序号</w:t>
            </w:r>
          </w:p>
        </w:tc>
        <w:tc>
          <w:tcPr>
            <w:tcW w:w="2852" w:type="dxa"/>
            <w:noWrap w:val="0"/>
            <w:vAlign w:val="center"/>
          </w:tcPr>
          <w:p>
            <w:pPr>
              <w:rPr>
                <w:rFonts w:hint="eastAsia" w:ascii="宋体" w:hAnsi="宋体"/>
                <w:sz w:val="24"/>
                <w:szCs w:val="24"/>
              </w:rPr>
            </w:pPr>
            <w:r>
              <w:rPr>
                <w:rFonts w:hint="eastAsia" w:ascii="宋体" w:hAnsi="宋体"/>
                <w:sz w:val="24"/>
                <w:szCs w:val="24"/>
              </w:rPr>
              <w:t>招标要求</w:t>
            </w:r>
          </w:p>
        </w:tc>
        <w:tc>
          <w:tcPr>
            <w:tcW w:w="2852" w:type="dxa"/>
            <w:noWrap w:val="0"/>
            <w:vAlign w:val="center"/>
          </w:tcPr>
          <w:p>
            <w:pPr>
              <w:rPr>
                <w:rFonts w:hint="eastAsia" w:ascii="宋体" w:hAnsi="宋体"/>
                <w:sz w:val="24"/>
                <w:szCs w:val="24"/>
              </w:rPr>
            </w:pPr>
            <w:r>
              <w:rPr>
                <w:rFonts w:hint="eastAsia" w:ascii="宋体" w:hAnsi="宋体"/>
                <w:sz w:val="24"/>
                <w:szCs w:val="24"/>
              </w:rPr>
              <w:t>投标响应</w:t>
            </w:r>
          </w:p>
        </w:tc>
        <w:tc>
          <w:tcPr>
            <w:tcW w:w="1308" w:type="dxa"/>
            <w:noWrap w:val="0"/>
            <w:vAlign w:val="center"/>
          </w:tcPr>
          <w:p>
            <w:pPr>
              <w:rPr>
                <w:rFonts w:hint="eastAsia" w:ascii="宋体" w:hAnsi="宋体"/>
                <w:sz w:val="24"/>
                <w:szCs w:val="24"/>
              </w:rPr>
            </w:pPr>
            <w:r>
              <w:rPr>
                <w:rFonts w:hint="eastAsia" w:ascii="宋体" w:hAnsi="宋体"/>
                <w:sz w:val="24"/>
                <w:szCs w:val="24"/>
              </w:rPr>
              <w:t>超出、符合或偏离</w:t>
            </w:r>
          </w:p>
        </w:tc>
        <w:tc>
          <w:tcPr>
            <w:tcW w:w="1173" w:type="dxa"/>
            <w:noWrap w:val="0"/>
            <w:vAlign w:val="center"/>
          </w:tcPr>
          <w:p>
            <w:pPr>
              <w:jc w:val="center"/>
              <w:rPr>
                <w:rFonts w:hint="eastAsia" w:ascii="宋体" w:hAnsi="宋体"/>
                <w:sz w:val="24"/>
                <w:szCs w:val="24"/>
              </w:rPr>
            </w:pPr>
            <w:r>
              <w:rPr>
                <w:rFonts w:hint="eastAsia" w:ascii="宋体" w:hAnsi="宋体"/>
                <w:sz w:val="24"/>
                <w:szCs w:val="24"/>
              </w:rPr>
              <w:t>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984" w:type="dxa"/>
            <w:noWrap w:val="0"/>
            <w:vAlign w:val="top"/>
          </w:tcPr>
          <w:p>
            <w:pPr>
              <w:jc w:val="center"/>
              <w:rPr>
                <w:rFonts w:hint="eastAsia" w:ascii="宋体" w:hAnsi="宋体"/>
                <w:sz w:val="24"/>
                <w:szCs w:val="24"/>
              </w:rPr>
            </w:pPr>
          </w:p>
        </w:tc>
        <w:tc>
          <w:tcPr>
            <w:tcW w:w="2852" w:type="dxa"/>
            <w:noWrap w:val="0"/>
            <w:vAlign w:val="top"/>
          </w:tcPr>
          <w:p>
            <w:pPr>
              <w:jc w:val="center"/>
              <w:rPr>
                <w:rFonts w:hint="eastAsia" w:ascii="宋体" w:hAnsi="宋体"/>
                <w:sz w:val="24"/>
                <w:szCs w:val="24"/>
              </w:rPr>
            </w:pPr>
          </w:p>
        </w:tc>
        <w:tc>
          <w:tcPr>
            <w:tcW w:w="2852" w:type="dxa"/>
            <w:noWrap w:val="0"/>
            <w:vAlign w:val="top"/>
          </w:tcPr>
          <w:p>
            <w:pPr>
              <w:jc w:val="center"/>
              <w:rPr>
                <w:rFonts w:hint="eastAsia" w:ascii="宋体" w:hAnsi="宋体"/>
                <w:sz w:val="24"/>
                <w:szCs w:val="24"/>
              </w:rPr>
            </w:pPr>
          </w:p>
        </w:tc>
        <w:tc>
          <w:tcPr>
            <w:tcW w:w="1308" w:type="dxa"/>
            <w:noWrap w:val="0"/>
            <w:vAlign w:val="top"/>
          </w:tcPr>
          <w:p>
            <w:pPr>
              <w:jc w:val="center"/>
              <w:rPr>
                <w:rFonts w:hint="eastAsia" w:ascii="宋体" w:hAnsi="宋体"/>
                <w:sz w:val="24"/>
                <w:szCs w:val="24"/>
              </w:rPr>
            </w:pPr>
          </w:p>
        </w:tc>
        <w:tc>
          <w:tcPr>
            <w:tcW w:w="1173" w:type="dxa"/>
            <w:noWrap w:val="0"/>
            <w:vAlign w:val="top"/>
          </w:tcPr>
          <w:p>
            <w:pPr>
              <w:jc w:val="center"/>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984" w:type="dxa"/>
            <w:noWrap w:val="0"/>
            <w:vAlign w:val="top"/>
          </w:tcPr>
          <w:p>
            <w:pPr>
              <w:jc w:val="center"/>
              <w:rPr>
                <w:rFonts w:hint="eastAsia" w:ascii="宋体" w:hAnsi="宋体"/>
                <w:sz w:val="24"/>
                <w:szCs w:val="24"/>
              </w:rPr>
            </w:pPr>
          </w:p>
        </w:tc>
        <w:tc>
          <w:tcPr>
            <w:tcW w:w="2852" w:type="dxa"/>
            <w:noWrap w:val="0"/>
            <w:vAlign w:val="top"/>
          </w:tcPr>
          <w:p>
            <w:pPr>
              <w:jc w:val="center"/>
              <w:rPr>
                <w:rFonts w:hint="eastAsia" w:ascii="宋体" w:hAnsi="宋体"/>
                <w:sz w:val="24"/>
                <w:szCs w:val="24"/>
              </w:rPr>
            </w:pPr>
          </w:p>
        </w:tc>
        <w:tc>
          <w:tcPr>
            <w:tcW w:w="2852" w:type="dxa"/>
            <w:noWrap w:val="0"/>
            <w:vAlign w:val="top"/>
          </w:tcPr>
          <w:p>
            <w:pPr>
              <w:jc w:val="center"/>
              <w:rPr>
                <w:rFonts w:hint="eastAsia" w:ascii="宋体" w:hAnsi="宋体"/>
                <w:sz w:val="24"/>
                <w:szCs w:val="24"/>
              </w:rPr>
            </w:pPr>
          </w:p>
        </w:tc>
        <w:tc>
          <w:tcPr>
            <w:tcW w:w="1308" w:type="dxa"/>
            <w:noWrap w:val="0"/>
            <w:vAlign w:val="top"/>
          </w:tcPr>
          <w:p>
            <w:pPr>
              <w:jc w:val="center"/>
              <w:rPr>
                <w:rFonts w:hint="eastAsia" w:ascii="宋体" w:hAnsi="宋体"/>
                <w:sz w:val="24"/>
                <w:szCs w:val="24"/>
              </w:rPr>
            </w:pPr>
          </w:p>
        </w:tc>
        <w:tc>
          <w:tcPr>
            <w:tcW w:w="1173" w:type="dxa"/>
            <w:noWrap w:val="0"/>
            <w:vAlign w:val="top"/>
          </w:tcPr>
          <w:p>
            <w:pPr>
              <w:jc w:val="center"/>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984" w:type="dxa"/>
            <w:noWrap w:val="0"/>
            <w:vAlign w:val="top"/>
          </w:tcPr>
          <w:p>
            <w:pPr>
              <w:jc w:val="center"/>
              <w:rPr>
                <w:rFonts w:hint="eastAsia" w:ascii="宋体" w:hAnsi="宋体"/>
                <w:sz w:val="24"/>
                <w:szCs w:val="24"/>
              </w:rPr>
            </w:pPr>
          </w:p>
        </w:tc>
        <w:tc>
          <w:tcPr>
            <w:tcW w:w="2852" w:type="dxa"/>
            <w:noWrap w:val="0"/>
            <w:vAlign w:val="top"/>
          </w:tcPr>
          <w:p>
            <w:pPr>
              <w:jc w:val="center"/>
              <w:rPr>
                <w:rFonts w:hint="eastAsia" w:ascii="宋体" w:hAnsi="宋体"/>
                <w:sz w:val="24"/>
                <w:szCs w:val="24"/>
              </w:rPr>
            </w:pPr>
          </w:p>
        </w:tc>
        <w:tc>
          <w:tcPr>
            <w:tcW w:w="2852" w:type="dxa"/>
            <w:noWrap w:val="0"/>
            <w:vAlign w:val="top"/>
          </w:tcPr>
          <w:p>
            <w:pPr>
              <w:jc w:val="center"/>
              <w:rPr>
                <w:rFonts w:hint="eastAsia" w:ascii="宋体" w:hAnsi="宋体"/>
                <w:sz w:val="24"/>
                <w:szCs w:val="24"/>
              </w:rPr>
            </w:pPr>
          </w:p>
        </w:tc>
        <w:tc>
          <w:tcPr>
            <w:tcW w:w="1308" w:type="dxa"/>
            <w:noWrap w:val="0"/>
            <w:vAlign w:val="top"/>
          </w:tcPr>
          <w:p>
            <w:pPr>
              <w:jc w:val="center"/>
              <w:rPr>
                <w:rFonts w:hint="eastAsia" w:ascii="宋体" w:hAnsi="宋体"/>
                <w:sz w:val="24"/>
                <w:szCs w:val="24"/>
              </w:rPr>
            </w:pPr>
          </w:p>
        </w:tc>
        <w:tc>
          <w:tcPr>
            <w:tcW w:w="1173" w:type="dxa"/>
            <w:noWrap w:val="0"/>
            <w:vAlign w:val="top"/>
          </w:tcPr>
          <w:p>
            <w:pPr>
              <w:jc w:val="center"/>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984" w:type="dxa"/>
            <w:noWrap w:val="0"/>
            <w:vAlign w:val="top"/>
          </w:tcPr>
          <w:p>
            <w:pPr>
              <w:jc w:val="center"/>
              <w:rPr>
                <w:rFonts w:hint="eastAsia" w:ascii="宋体" w:hAnsi="宋体"/>
                <w:sz w:val="24"/>
                <w:szCs w:val="24"/>
              </w:rPr>
            </w:pPr>
          </w:p>
        </w:tc>
        <w:tc>
          <w:tcPr>
            <w:tcW w:w="2852" w:type="dxa"/>
            <w:noWrap w:val="0"/>
            <w:vAlign w:val="top"/>
          </w:tcPr>
          <w:p>
            <w:pPr>
              <w:jc w:val="center"/>
              <w:rPr>
                <w:rFonts w:hint="eastAsia" w:ascii="宋体" w:hAnsi="宋体"/>
                <w:sz w:val="24"/>
                <w:szCs w:val="24"/>
              </w:rPr>
            </w:pPr>
          </w:p>
        </w:tc>
        <w:tc>
          <w:tcPr>
            <w:tcW w:w="2852" w:type="dxa"/>
            <w:noWrap w:val="0"/>
            <w:vAlign w:val="top"/>
          </w:tcPr>
          <w:p>
            <w:pPr>
              <w:jc w:val="center"/>
              <w:rPr>
                <w:rFonts w:hint="eastAsia" w:ascii="宋体" w:hAnsi="宋体"/>
                <w:sz w:val="24"/>
                <w:szCs w:val="24"/>
              </w:rPr>
            </w:pPr>
          </w:p>
        </w:tc>
        <w:tc>
          <w:tcPr>
            <w:tcW w:w="1308" w:type="dxa"/>
            <w:noWrap w:val="0"/>
            <w:vAlign w:val="top"/>
          </w:tcPr>
          <w:p>
            <w:pPr>
              <w:jc w:val="center"/>
              <w:rPr>
                <w:rFonts w:hint="eastAsia" w:ascii="宋体" w:hAnsi="宋体"/>
                <w:sz w:val="24"/>
                <w:szCs w:val="24"/>
              </w:rPr>
            </w:pPr>
          </w:p>
        </w:tc>
        <w:tc>
          <w:tcPr>
            <w:tcW w:w="1173" w:type="dxa"/>
            <w:noWrap w:val="0"/>
            <w:vAlign w:val="top"/>
          </w:tcPr>
          <w:p>
            <w:pPr>
              <w:jc w:val="center"/>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984" w:type="dxa"/>
            <w:noWrap w:val="0"/>
            <w:vAlign w:val="top"/>
          </w:tcPr>
          <w:p>
            <w:pPr>
              <w:jc w:val="center"/>
              <w:rPr>
                <w:rFonts w:hint="eastAsia" w:ascii="宋体" w:hAnsi="宋体"/>
                <w:sz w:val="24"/>
                <w:szCs w:val="24"/>
              </w:rPr>
            </w:pPr>
          </w:p>
        </w:tc>
        <w:tc>
          <w:tcPr>
            <w:tcW w:w="2852" w:type="dxa"/>
            <w:noWrap w:val="0"/>
            <w:vAlign w:val="top"/>
          </w:tcPr>
          <w:p>
            <w:pPr>
              <w:jc w:val="center"/>
              <w:rPr>
                <w:rFonts w:hint="eastAsia" w:ascii="宋体" w:hAnsi="宋体"/>
                <w:sz w:val="24"/>
                <w:szCs w:val="24"/>
              </w:rPr>
            </w:pPr>
          </w:p>
        </w:tc>
        <w:tc>
          <w:tcPr>
            <w:tcW w:w="2852" w:type="dxa"/>
            <w:noWrap w:val="0"/>
            <w:vAlign w:val="top"/>
          </w:tcPr>
          <w:p>
            <w:pPr>
              <w:jc w:val="center"/>
              <w:rPr>
                <w:rFonts w:hint="eastAsia" w:ascii="宋体" w:hAnsi="宋体"/>
                <w:sz w:val="24"/>
                <w:szCs w:val="24"/>
              </w:rPr>
            </w:pPr>
          </w:p>
        </w:tc>
        <w:tc>
          <w:tcPr>
            <w:tcW w:w="1308" w:type="dxa"/>
            <w:noWrap w:val="0"/>
            <w:vAlign w:val="top"/>
          </w:tcPr>
          <w:p>
            <w:pPr>
              <w:jc w:val="center"/>
              <w:rPr>
                <w:rFonts w:hint="eastAsia" w:ascii="宋体" w:hAnsi="宋体"/>
                <w:sz w:val="24"/>
                <w:szCs w:val="24"/>
              </w:rPr>
            </w:pPr>
          </w:p>
        </w:tc>
        <w:tc>
          <w:tcPr>
            <w:tcW w:w="1173" w:type="dxa"/>
            <w:noWrap w:val="0"/>
            <w:vAlign w:val="top"/>
          </w:tcPr>
          <w:p>
            <w:pPr>
              <w:jc w:val="center"/>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984" w:type="dxa"/>
            <w:noWrap w:val="0"/>
            <w:vAlign w:val="top"/>
          </w:tcPr>
          <w:p>
            <w:pPr>
              <w:jc w:val="center"/>
              <w:rPr>
                <w:rFonts w:hint="eastAsia" w:ascii="宋体" w:hAnsi="宋体"/>
                <w:sz w:val="24"/>
                <w:szCs w:val="24"/>
              </w:rPr>
            </w:pPr>
          </w:p>
        </w:tc>
        <w:tc>
          <w:tcPr>
            <w:tcW w:w="2852" w:type="dxa"/>
            <w:noWrap w:val="0"/>
            <w:vAlign w:val="top"/>
          </w:tcPr>
          <w:p>
            <w:pPr>
              <w:jc w:val="center"/>
              <w:rPr>
                <w:rFonts w:hint="eastAsia" w:ascii="宋体" w:hAnsi="宋体"/>
                <w:sz w:val="24"/>
                <w:szCs w:val="24"/>
              </w:rPr>
            </w:pPr>
          </w:p>
        </w:tc>
        <w:tc>
          <w:tcPr>
            <w:tcW w:w="2852" w:type="dxa"/>
            <w:noWrap w:val="0"/>
            <w:vAlign w:val="top"/>
          </w:tcPr>
          <w:p>
            <w:pPr>
              <w:jc w:val="center"/>
              <w:rPr>
                <w:rFonts w:hint="eastAsia" w:ascii="宋体" w:hAnsi="宋体"/>
                <w:sz w:val="24"/>
                <w:szCs w:val="24"/>
              </w:rPr>
            </w:pPr>
          </w:p>
        </w:tc>
        <w:tc>
          <w:tcPr>
            <w:tcW w:w="1308" w:type="dxa"/>
            <w:noWrap w:val="0"/>
            <w:vAlign w:val="top"/>
          </w:tcPr>
          <w:p>
            <w:pPr>
              <w:jc w:val="center"/>
              <w:rPr>
                <w:rFonts w:hint="eastAsia" w:ascii="宋体" w:hAnsi="宋体"/>
                <w:sz w:val="24"/>
                <w:szCs w:val="24"/>
              </w:rPr>
            </w:pPr>
          </w:p>
        </w:tc>
        <w:tc>
          <w:tcPr>
            <w:tcW w:w="1173" w:type="dxa"/>
            <w:noWrap w:val="0"/>
            <w:vAlign w:val="top"/>
          </w:tcPr>
          <w:p>
            <w:pPr>
              <w:jc w:val="center"/>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984" w:type="dxa"/>
            <w:noWrap w:val="0"/>
            <w:vAlign w:val="top"/>
          </w:tcPr>
          <w:p>
            <w:pPr>
              <w:jc w:val="center"/>
              <w:rPr>
                <w:rFonts w:hint="eastAsia" w:ascii="宋体" w:hAnsi="宋体"/>
                <w:sz w:val="24"/>
                <w:szCs w:val="24"/>
              </w:rPr>
            </w:pPr>
          </w:p>
        </w:tc>
        <w:tc>
          <w:tcPr>
            <w:tcW w:w="2852" w:type="dxa"/>
            <w:noWrap w:val="0"/>
            <w:vAlign w:val="top"/>
          </w:tcPr>
          <w:p>
            <w:pPr>
              <w:jc w:val="center"/>
              <w:rPr>
                <w:rFonts w:hint="eastAsia" w:ascii="宋体" w:hAnsi="宋体"/>
                <w:sz w:val="24"/>
                <w:szCs w:val="24"/>
              </w:rPr>
            </w:pPr>
          </w:p>
        </w:tc>
        <w:tc>
          <w:tcPr>
            <w:tcW w:w="2852" w:type="dxa"/>
            <w:noWrap w:val="0"/>
            <w:vAlign w:val="top"/>
          </w:tcPr>
          <w:p>
            <w:pPr>
              <w:jc w:val="center"/>
              <w:rPr>
                <w:rFonts w:hint="eastAsia" w:ascii="宋体" w:hAnsi="宋体"/>
                <w:sz w:val="24"/>
                <w:szCs w:val="24"/>
              </w:rPr>
            </w:pPr>
          </w:p>
        </w:tc>
        <w:tc>
          <w:tcPr>
            <w:tcW w:w="1308" w:type="dxa"/>
            <w:noWrap w:val="0"/>
            <w:vAlign w:val="top"/>
          </w:tcPr>
          <w:p>
            <w:pPr>
              <w:jc w:val="center"/>
              <w:rPr>
                <w:rFonts w:hint="eastAsia" w:ascii="宋体" w:hAnsi="宋体"/>
                <w:sz w:val="24"/>
                <w:szCs w:val="24"/>
              </w:rPr>
            </w:pPr>
          </w:p>
        </w:tc>
        <w:tc>
          <w:tcPr>
            <w:tcW w:w="1173" w:type="dxa"/>
            <w:noWrap w:val="0"/>
            <w:vAlign w:val="top"/>
          </w:tcPr>
          <w:p>
            <w:pPr>
              <w:jc w:val="center"/>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trPr>
        <w:tc>
          <w:tcPr>
            <w:tcW w:w="984" w:type="dxa"/>
            <w:noWrap w:val="0"/>
            <w:vAlign w:val="top"/>
          </w:tcPr>
          <w:p>
            <w:pPr>
              <w:jc w:val="center"/>
              <w:rPr>
                <w:rFonts w:hint="eastAsia" w:ascii="宋体" w:hAnsi="宋体"/>
                <w:sz w:val="24"/>
                <w:szCs w:val="24"/>
              </w:rPr>
            </w:pPr>
          </w:p>
        </w:tc>
        <w:tc>
          <w:tcPr>
            <w:tcW w:w="2852" w:type="dxa"/>
            <w:noWrap w:val="0"/>
            <w:vAlign w:val="top"/>
          </w:tcPr>
          <w:p>
            <w:pPr>
              <w:jc w:val="center"/>
              <w:rPr>
                <w:rFonts w:hint="eastAsia" w:ascii="宋体" w:hAnsi="宋体"/>
                <w:sz w:val="24"/>
                <w:szCs w:val="24"/>
              </w:rPr>
            </w:pPr>
          </w:p>
        </w:tc>
        <w:tc>
          <w:tcPr>
            <w:tcW w:w="2852" w:type="dxa"/>
            <w:noWrap w:val="0"/>
            <w:vAlign w:val="top"/>
          </w:tcPr>
          <w:p>
            <w:pPr>
              <w:jc w:val="center"/>
              <w:rPr>
                <w:rFonts w:hint="eastAsia" w:ascii="宋体" w:hAnsi="宋体"/>
                <w:sz w:val="24"/>
                <w:szCs w:val="24"/>
              </w:rPr>
            </w:pPr>
          </w:p>
        </w:tc>
        <w:tc>
          <w:tcPr>
            <w:tcW w:w="1308" w:type="dxa"/>
            <w:noWrap w:val="0"/>
            <w:vAlign w:val="top"/>
          </w:tcPr>
          <w:p>
            <w:pPr>
              <w:jc w:val="center"/>
              <w:rPr>
                <w:rFonts w:hint="eastAsia" w:ascii="宋体" w:hAnsi="宋体"/>
                <w:sz w:val="24"/>
                <w:szCs w:val="24"/>
              </w:rPr>
            </w:pPr>
          </w:p>
        </w:tc>
        <w:tc>
          <w:tcPr>
            <w:tcW w:w="1173" w:type="dxa"/>
            <w:noWrap w:val="0"/>
            <w:vAlign w:val="top"/>
          </w:tcPr>
          <w:p>
            <w:pPr>
              <w:jc w:val="center"/>
              <w:rPr>
                <w:rFonts w:hint="eastAsia" w:ascii="宋体" w:hAnsi="宋体"/>
                <w:sz w:val="24"/>
                <w:szCs w:val="24"/>
              </w:rPr>
            </w:pPr>
          </w:p>
        </w:tc>
      </w:tr>
    </w:tbl>
    <w:p>
      <w:pPr>
        <w:pStyle w:val="9"/>
      </w:pPr>
    </w:p>
    <w:p>
      <w:pPr>
        <w:spacing w:line="360" w:lineRule="auto"/>
        <w:rPr>
          <w:color w:val="000000" w:themeColor="text1"/>
          <w:sz w:val="24"/>
          <w:szCs w:val="24"/>
        </w:rPr>
      </w:pPr>
      <w:r>
        <w:rPr>
          <w:color w:val="000000" w:themeColor="text1"/>
          <w:sz w:val="24"/>
          <w:szCs w:val="24"/>
        </w:rPr>
        <w:t>法定代表人或授权代表（签字或盖章）</w:t>
      </w:r>
    </w:p>
    <w:p>
      <w:pPr>
        <w:spacing w:line="360" w:lineRule="auto"/>
        <w:rPr>
          <w:color w:val="000000" w:themeColor="text1"/>
          <w:sz w:val="24"/>
          <w:szCs w:val="24"/>
        </w:rPr>
      </w:pPr>
      <w:r>
        <w:rPr>
          <w:color w:val="000000" w:themeColor="text1"/>
          <w:sz w:val="24"/>
          <w:szCs w:val="24"/>
        </w:rPr>
        <w:t xml:space="preserve">                                            日期：     年    月     日</w:t>
      </w:r>
    </w:p>
    <w:p>
      <w:pPr>
        <w:spacing w:line="360" w:lineRule="auto"/>
        <w:rPr>
          <w:b/>
          <w:bCs/>
          <w:color w:val="000000" w:themeColor="text1"/>
          <w:sz w:val="24"/>
          <w:szCs w:val="24"/>
        </w:rPr>
      </w:pPr>
    </w:p>
    <w:p>
      <w:pPr>
        <w:spacing w:line="360" w:lineRule="auto"/>
        <w:rPr>
          <w:color w:val="000000" w:themeColor="text1"/>
          <w:sz w:val="24"/>
          <w:szCs w:val="24"/>
        </w:rPr>
      </w:pPr>
      <w:r>
        <w:rPr>
          <w:b/>
          <w:bCs/>
          <w:color w:val="000000" w:themeColor="text1"/>
          <w:sz w:val="24"/>
          <w:szCs w:val="24"/>
        </w:rPr>
        <w:t>注：</w:t>
      </w:r>
      <w:r>
        <w:rPr>
          <w:color w:val="000000" w:themeColor="text1"/>
          <w:sz w:val="24"/>
          <w:szCs w:val="24"/>
        </w:rPr>
        <w:t>1、按照基本技术要求详细填列；</w:t>
      </w:r>
    </w:p>
    <w:p>
      <w:pPr>
        <w:spacing w:line="360" w:lineRule="auto"/>
        <w:ind w:firstLine="480"/>
        <w:rPr>
          <w:color w:val="000000" w:themeColor="text1"/>
          <w:sz w:val="24"/>
          <w:szCs w:val="24"/>
        </w:rPr>
      </w:pPr>
      <w:r>
        <w:rPr>
          <w:color w:val="000000" w:themeColor="text1"/>
          <w:sz w:val="24"/>
          <w:szCs w:val="24"/>
        </w:rPr>
        <w:t>2、行数不够，可自行添加。</w:t>
      </w:r>
    </w:p>
    <w:p>
      <w:pPr>
        <w:spacing w:line="360" w:lineRule="auto"/>
        <w:ind w:firstLine="480"/>
        <w:rPr>
          <w:color w:val="000000" w:themeColor="text1"/>
          <w:sz w:val="24"/>
          <w:szCs w:val="24"/>
        </w:rPr>
      </w:pPr>
      <w:r>
        <w:rPr>
          <w:color w:val="000000" w:themeColor="text1"/>
          <w:sz w:val="24"/>
          <w:szCs w:val="24"/>
        </w:rPr>
        <w:t>3、技术偏离表应针对项目需求逐条应答。</w:t>
      </w:r>
    </w:p>
    <w:p>
      <w:pPr>
        <w:jc w:val="center"/>
        <w:rPr>
          <w:color w:val="000000" w:themeColor="text1"/>
          <w:sz w:val="24"/>
          <w:szCs w:val="24"/>
        </w:rPr>
      </w:pPr>
    </w:p>
    <w:p>
      <w:pPr>
        <w:jc w:val="center"/>
        <w:rPr>
          <w:color w:val="000000" w:themeColor="text1"/>
          <w:sz w:val="24"/>
          <w:szCs w:val="24"/>
        </w:rPr>
      </w:pPr>
    </w:p>
    <w:p>
      <w:pPr>
        <w:rPr>
          <w:color w:val="000000" w:themeColor="text1"/>
          <w:sz w:val="24"/>
          <w:szCs w:val="24"/>
        </w:rPr>
      </w:pPr>
    </w:p>
    <w:p>
      <w:pPr>
        <w:spacing w:line="360" w:lineRule="auto"/>
        <w:jc w:val="center"/>
        <w:rPr>
          <w:b/>
          <w:bCs/>
          <w:color w:val="000000" w:themeColor="text1"/>
          <w:sz w:val="32"/>
          <w:szCs w:val="32"/>
        </w:rPr>
      </w:pPr>
    </w:p>
    <w:p>
      <w:pPr>
        <w:widowControl/>
        <w:jc w:val="left"/>
        <w:rPr>
          <w:rFonts w:eastAsia="黑体"/>
          <w:color w:val="000000" w:themeColor="text1"/>
          <w:sz w:val="32"/>
          <w:szCs w:val="32"/>
        </w:rPr>
      </w:pPr>
      <w:r>
        <w:rPr>
          <w:rFonts w:eastAsia="黑体"/>
          <w:color w:val="000000" w:themeColor="text1"/>
          <w:sz w:val="32"/>
          <w:szCs w:val="32"/>
        </w:rPr>
        <w:br w:type="page"/>
      </w:r>
    </w:p>
    <w:p>
      <w:pPr>
        <w:snapToGrid w:val="0"/>
        <w:spacing w:before="50" w:after="50"/>
        <w:jc w:val="center"/>
        <w:rPr>
          <w:rFonts w:eastAsia="黑体"/>
          <w:color w:val="000000" w:themeColor="text1"/>
          <w:sz w:val="32"/>
          <w:szCs w:val="32"/>
        </w:rPr>
      </w:pPr>
      <w:r>
        <w:rPr>
          <w:rFonts w:hint="eastAsia" w:eastAsia="黑体"/>
          <w:color w:val="000000" w:themeColor="text1"/>
          <w:sz w:val="32"/>
          <w:szCs w:val="32"/>
        </w:rPr>
        <w:t>七</w:t>
      </w:r>
      <w:r>
        <w:rPr>
          <w:rFonts w:eastAsia="黑体"/>
          <w:color w:val="000000" w:themeColor="text1"/>
          <w:sz w:val="32"/>
          <w:szCs w:val="32"/>
        </w:rPr>
        <w:t>、商务条款响应及偏离表</w:t>
      </w:r>
    </w:p>
    <w:p>
      <w:pPr>
        <w:spacing w:before="156" w:beforeLines="50" w:after="156" w:afterLines="50"/>
        <w:rPr>
          <w:color w:val="000000" w:themeColor="text1"/>
          <w:sz w:val="24"/>
          <w:szCs w:val="24"/>
        </w:rPr>
      </w:pPr>
      <w:r>
        <w:rPr>
          <w:color w:val="000000" w:themeColor="text1"/>
          <w:sz w:val="24"/>
          <w:szCs w:val="24"/>
        </w:rPr>
        <w:t>参加投标供应商全称（加盖公章）：        项目名称：</w:t>
      </w:r>
    </w:p>
    <w:tbl>
      <w:tblPr>
        <w:tblStyle w:val="21"/>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548"/>
        <w:gridCol w:w="2700"/>
        <w:gridCol w:w="1260"/>
        <w:gridCol w:w="302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1548" w:type="dxa"/>
            <w:tcBorders>
              <w:top w:val="single" w:color="auto" w:sz="4" w:space="0"/>
              <w:left w:val="single" w:color="auto" w:sz="4" w:space="0"/>
              <w:bottom w:val="single" w:color="auto" w:sz="4" w:space="0"/>
              <w:right w:val="single" w:color="auto" w:sz="4" w:space="0"/>
            </w:tcBorders>
            <w:vAlign w:val="center"/>
          </w:tcPr>
          <w:p>
            <w:pPr>
              <w:snapToGrid w:val="0"/>
              <w:spacing w:before="156" w:beforeLines="50"/>
              <w:jc w:val="center"/>
              <w:rPr>
                <w:b/>
                <w:color w:val="000000" w:themeColor="text1"/>
                <w:sz w:val="24"/>
                <w:szCs w:val="24"/>
              </w:rPr>
            </w:pPr>
            <w:r>
              <w:rPr>
                <w:b/>
                <w:color w:val="000000" w:themeColor="text1"/>
                <w:sz w:val="24"/>
                <w:szCs w:val="24"/>
              </w:rPr>
              <w:t>项目</w:t>
            </w:r>
          </w:p>
        </w:tc>
        <w:tc>
          <w:tcPr>
            <w:tcW w:w="2700" w:type="dxa"/>
            <w:tcBorders>
              <w:top w:val="single" w:color="auto" w:sz="4" w:space="0"/>
              <w:left w:val="nil"/>
              <w:bottom w:val="single" w:color="auto" w:sz="4" w:space="0"/>
              <w:right w:val="single" w:color="auto" w:sz="4" w:space="0"/>
            </w:tcBorders>
            <w:vAlign w:val="center"/>
          </w:tcPr>
          <w:p>
            <w:pPr>
              <w:snapToGrid w:val="0"/>
              <w:spacing w:before="156" w:beforeLines="50"/>
              <w:jc w:val="center"/>
              <w:rPr>
                <w:b/>
                <w:color w:val="000000" w:themeColor="text1"/>
                <w:sz w:val="24"/>
                <w:szCs w:val="24"/>
              </w:rPr>
            </w:pPr>
            <w:r>
              <w:rPr>
                <w:b/>
                <w:color w:val="000000" w:themeColor="text1"/>
                <w:sz w:val="24"/>
                <w:szCs w:val="24"/>
              </w:rPr>
              <w:t>投标文件要求</w:t>
            </w:r>
          </w:p>
        </w:tc>
        <w:tc>
          <w:tcPr>
            <w:tcW w:w="1260" w:type="dxa"/>
            <w:tcBorders>
              <w:top w:val="single" w:color="auto" w:sz="4" w:space="0"/>
              <w:left w:val="nil"/>
              <w:bottom w:val="single" w:color="auto" w:sz="4" w:space="0"/>
              <w:right w:val="single" w:color="auto" w:sz="4" w:space="0"/>
            </w:tcBorders>
            <w:vAlign w:val="center"/>
          </w:tcPr>
          <w:p>
            <w:pPr>
              <w:snapToGrid w:val="0"/>
              <w:spacing w:before="156" w:beforeLines="50"/>
              <w:jc w:val="center"/>
              <w:rPr>
                <w:b/>
                <w:color w:val="000000" w:themeColor="text1"/>
                <w:sz w:val="24"/>
                <w:szCs w:val="24"/>
              </w:rPr>
            </w:pPr>
            <w:r>
              <w:rPr>
                <w:b/>
                <w:color w:val="000000" w:themeColor="text1"/>
                <w:sz w:val="24"/>
                <w:szCs w:val="24"/>
              </w:rPr>
              <w:t>是否响应</w:t>
            </w:r>
          </w:p>
        </w:tc>
        <w:tc>
          <w:tcPr>
            <w:tcW w:w="3020" w:type="dxa"/>
            <w:tcBorders>
              <w:top w:val="single" w:color="auto" w:sz="4" w:space="0"/>
              <w:left w:val="nil"/>
              <w:bottom w:val="single" w:color="auto" w:sz="4" w:space="0"/>
              <w:right w:val="single" w:color="auto" w:sz="4" w:space="0"/>
            </w:tcBorders>
            <w:vAlign w:val="center"/>
          </w:tcPr>
          <w:p>
            <w:pPr>
              <w:snapToGrid w:val="0"/>
              <w:spacing w:before="156" w:beforeLines="50"/>
              <w:jc w:val="center"/>
              <w:rPr>
                <w:b/>
                <w:color w:val="000000" w:themeColor="text1"/>
                <w:sz w:val="24"/>
                <w:szCs w:val="24"/>
              </w:rPr>
            </w:pPr>
            <w:r>
              <w:rPr>
                <w:b/>
                <w:color w:val="000000" w:themeColor="text1"/>
                <w:sz w:val="24"/>
                <w:szCs w:val="24"/>
              </w:rPr>
              <w:t>投标供应商的承诺或说明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9" w:hRule="atLeast"/>
        </w:trPr>
        <w:tc>
          <w:tcPr>
            <w:tcW w:w="1548" w:type="dxa"/>
            <w:tcBorders>
              <w:top w:val="single" w:color="auto" w:sz="4" w:space="0"/>
              <w:left w:val="single" w:color="auto" w:sz="4" w:space="0"/>
              <w:bottom w:val="single" w:color="auto" w:sz="4" w:space="0"/>
              <w:right w:val="single" w:color="auto" w:sz="4" w:space="0"/>
            </w:tcBorders>
            <w:vAlign w:val="center"/>
          </w:tcPr>
          <w:p>
            <w:pPr>
              <w:snapToGrid w:val="0"/>
              <w:jc w:val="center"/>
              <w:rPr>
                <w:color w:val="000000" w:themeColor="text1"/>
                <w:sz w:val="24"/>
                <w:szCs w:val="24"/>
              </w:rPr>
            </w:pPr>
            <w:r>
              <w:rPr>
                <w:color w:val="000000" w:themeColor="text1"/>
                <w:sz w:val="24"/>
                <w:szCs w:val="24"/>
              </w:rPr>
              <w:t>质保期</w:t>
            </w:r>
          </w:p>
        </w:tc>
        <w:tc>
          <w:tcPr>
            <w:tcW w:w="2700" w:type="dxa"/>
            <w:tcBorders>
              <w:top w:val="single" w:color="auto" w:sz="4" w:space="0"/>
              <w:left w:val="nil"/>
              <w:bottom w:val="single" w:color="auto" w:sz="4" w:space="0"/>
              <w:right w:val="single" w:color="auto" w:sz="4" w:space="0"/>
            </w:tcBorders>
            <w:vAlign w:val="center"/>
          </w:tcPr>
          <w:p>
            <w:pPr>
              <w:snapToGrid w:val="0"/>
              <w:spacing w:before="156" w:beforeLines="50"/>
              <w:jc w:val="center"/>
              <w:rPr>
                <w:color w:val="000000" w:themeColor="text1"/>
                <w:sz w:val="24"/>
                <w:szCs w:val="24"/>
              </w:rPr>
            </w:pPr>
          </w:p>
        </w:tc>
        <w:tc>
          <w:tcPr>
            <w:tcW w:w="1260" w:type="dxa"/>
            <w:tcBorders>
              <w:top w:val="single" w:color="auto" w:sz="4" w:space="0"/>
              <w:left w:val="nil"/>
              <w:bottom w:val="single" w:color="auto" w:sz="4" w:space="0"/>
              <w:right w:val="single" w:color="auto" w:sz="4" w:space="0"/>
            </w:tcBorders>
            <w:vAlign w:val="center"/>
          </w:tcPr>
          <w:p>
            <w:pPr>
              <w:snapToGrid w:val="0"/>
              <w:spacing w:before="156" w:beforeLines="50"/>
              <w:jc w:val="center"/>
              <w:rPr>
                <w:color w:val="000000" w:themeColor="text1"/>
                <w:sz w:val="24"/>
                <w:szCs w:val="24"/>
              </w:rPr>
            </w:pPr>
          </w:p>
        </w:tc>
        <w:tc>
          <w:tcPr>
            <w:tcW w:w="3020" w:type="dxa"/>
            <w:tcBorders>
              <w:top w:val="single" w:color="auto" w:sz="4" w:space="0"/>
              <w:left w:val="nil"/>
              <w:bottom w:val="single" w:color="auto" w:sz="4" w:space="0"/>
              <w:right w:val="single" w:color="auto" w:sz="4" w:space="0"/>
            </w:tcBorders>
            <w:vAlign w:val="center"/>
          </w:tcPr>
          <w:p>
            <w:pPr>
              <w:snapToGrid w:val="0"/>
              <w:spacing w:before="156" w:beforeLines="50"/>
              <w:jc w:val="center"/>
              <w:rPr>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9" w:hRule="atLeast"/>
        </w:trPr>
        <w:tc>
          <w:tcPr>
            <w:tcW w:w="1548" w:type="dxa"/>
            <w:tcBorders>
              <w:top w:val="single" w:color="auto" w:sz="4" w:space="0"/>
              <w:left w:val="single" w:color="auto" w:sz="4" w:space="0"/>
              <w:bottom w:val="single" w:color="auto" w:sz="4" w:space="0"/>
              <w:right w:val="single" w:color="auto" w:sz="4" w:space="0"/>
            </w:tcBorders>
            <w:vAlign w:val="center"/>
          </w:tcPr>
          <w:p>
            <w:pPr>
              <w:snapToGrid w:val="0"/>
              <w:jc w:val="center"/>
              <w:rPr>
                <w:color w:val="000000" w:themeColor="text1"/>
                <w:sz w:val="24"/>
                <w:szCs w:val="24"/>
              </w:rPr>
            </w:pPr>
            <w:r>
              <w:rPr>
                <w:color w:val="000000" w:themeColor="text1"/>
                <w:sz w:val="24"/>
                <w:szCs w:val="24"/>
              </w:rPr>
              <w:t>售后技术服务要求</w:t>
            </w:r>
          </w:p>
        </w:tc>
        <w:tc>
          <w:tcPr>
            <w:tcW w:w="2700" w:type="dxa"/>
            <w:tcBorders>
              <w:top w:val="single" w:color="auto" w:sz="4" w:space="0"/>
              <w:left w:val="nil"/>
              <w:bottom w:val="single" w:color="auto" w:sz="4" w:space="0"/>
              <w:right w:val="single" w:color="auto" w:sz="4" w:space="0"/>
            </w:tcBorders>
            <w:vAlign w:val="center"/>
          </w:tcPr>
          <w:p>
            <w:pPr>
              <w:snapToGrid w:val="0"/>
              <w:spacing w:before="156" w:beforeLines="50"/>
              <w:jc w:val="center"/>
              <w:rPr>
                <w:color w:val="000000" w:themeColor="text1"/>
                <w:sz w:val="24"/>
                <w:szCs w:val="24"/>
              </w:rPr>
            </w:pPr>
          </w:p>
        </w:tc>
        <w:tc>
          <w:tcPr>
            <w:tcW w:w="1260" w:type="dxa"/>
            <w:tcBorders>
              <w:top w:val="single" w:color="auto" w:sz="4" w:space="0"/>
              <w:left w:val="nil"/>
              <w:bottom w:val="single" w:color="auto" w:sz="4" w:space="0"/>
              <w:right w:val="single" w:color="auto" w:sz="4" w:space="0"/>
            </w:tcBorders>
            <w:vAlign w:val="center"/>
          </w:tcPr>
          <w:p>
            <w:pPr>
              <w:snapToGrid w:val="0"/>
              <w:spacing w:before="156" w:beforeLines="50"/>
              <w:jc w:val="center"/>
              <w:rPr>
                <w:color w:val="000000" w:themeColor="text1"/>
                <w:sz w:val="24"/>
                <w:szCs w:val="24"/>
              </w:rPr>
            </w:pPr>
          </w:p>
        </w:tc>
        <w:tc>
          <w:tcPr>
            <w:tcW w:w="3020" w:type="dxa"/>
            <w:tcBorders>
              <w:top w:val="single" w:color="auto" w:sz="4" w:space="0"/>
              <w:left w:val="nil"/>
              <w:bottom w:val="single" w:color="auto" w:sz="4" w:space="0"/>
              <w:right w:val="single" w:color="auto" w:sz="4" w:space="0"/>
            </w:tcBorders>
            <w:vAlign w:val="center"/>
          </w:tcPr>
          <w:p>
            <w:pPr>
              <w:snapToGrid w:val="0"/>
              <w:spacing w:before="156" w:beforeLines="50"/>
              <w:jc w:val="center"/>
              <w:rPr>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9" w:hRule="atLeast"/>
        </w:trPr>
        <w:tc>
          <w:tcPr>
            <w:tcW w:w="1548" w:type="dxa"/>
            <w:tcBorders>
              <w:top w:val="single" w:color="auto" w:sz="4" w:space="0"/>
              <w:left w:val="single" w:color="auto" w:sz="4" w:space="0"/>
              <w:bottom w:val="single" w:color="auto" w:sz="4" w:space="0"/>
              <w:right w:val="single" w:color="auto" w:sz="4" w:space="0"/>
            </w:tcBorders>
            <w:vAlign w:val="center"/>
          </w:tcPr>
          <w:p>
            <w:pPr>
              <w:snapToGrid w:val="0"/>
              <w:jc w:val="center"/>
              <w:rPr>
                <w:color w:val="000000" w:themeColor="text1"/>
                <w:sz w:val="24"/>
                <w:szCs w:val="24"/>
              </w:rPr>
            </w:pPr>
            <w:r>
              <w:rPr>
                <w:color w:val="000000" w:themeColor="text1"/>
                <w:sz w:val="24"/>
                <w:szCs w:val="24"/>
              </w:rPr>
              <w:t>交货时间及地点</w:t>
            </w:r>
          </w:p>
        </w:tc>
        <w:tc>
          <w:tcPr>
            <w:tcW w:w="2700" w:type="dxa"/>
            <w:tcBorders>
              <w:top w:val="single" w:color="auto" w:sz="4" w:space="0"/>
              <w:left w:val="nil"/>
              <w:bottom w:val="single" w:color="auto" w:sz="4" w:space="0"/>
              <w:right w:val="single" w:color="auto" w:sz="4" w:space="0"/>
            </w:tcBorders>
            <w:vAlign w:val="center"/>
          </w:tcPr>
          <w:p>
            <w:pPr>
              <w:snapToGrid w:val="0"/>
              <w:spacing w:before="156" w:beforeLines="50"/>
              <w:jc w:val="center"/>
              <w:rPr>
                <w:color w:val="000000" w:themeColor="text1"/>
                <w:sz w:val="24"/>
                <w:szCs w:val="24"/>
              </w:rPr>
            </w:pPr>
            <w:r>
              <w:rPr>
                <w:color w:val="000000" w:themeColor="text1"/>
                <w:sz w:val="24"/>
                <w:szCs w:val="24"/>
              </w:rPr>
              <w:t>（合同签订后天内）交货；地点：</w:t>
            </w:r>
          </w:p>
        </w:tc>
        <w:tc>
          <w:tcPr>
            <w:tcW w:w="1260" w:type="dxa"/>
            <w:tcBorders>
              <w:top w:val="single" w:color="auto" w:sz="4" w:space="0"/>
              <w:left w:val="nil"/>
              <w:bottom w:val="single" w:color="auto" w:sz="4" w:space="0"/>
              <w:right w:val="single" w:color="auto" w:sz="4" w:space="0"/>
            </w:tcBorders>
            <w:vAlign w:val="center"/>
          </w:tcPr>
          <w:p>
            <w:pPr>
              <w:snapToGrid w:val="0"/>
              <w:spacing w:before="156" w:beforeLines="50"/>
              <w:ind w:left="43"/>
              <w:jc w:val="center"/>
              <w:rPr>
                <w:color w:val="000000" w:themeColor="text1"/>
                <w:sz w:val="24"/>
                <w:szCs w:val="24"/>
              </w:rPr>
            </w:pPr>
          </w:p>
        </w:tc>
        <w:tc>
          <w:tcPr>
            <w:tcW w:w="3020" w:type="dxa"/>
            <w:tcBorders>
              <w:top w:val="single" w:color="auto" w:sz="4" w:space="0"/>
              <w:left w:val="nil"/>
              <w:bottom w:val="single" w:color="auto" w:sz="4" w:space="0"/>
              <w:right w:val="single" w:color="auto" w:sz="4" w:space="0"/>
            </w:tcBorders>
            <w:vAlign w:val="center"/>
          </w:tcPr>
          <w:p>
            <w:pPr>
              <w:snapToGrid w:val="0"/>
              <w:spacing w:before="156" w:beforeLines="50"/>
              <w:ind w:left="43"/>
              <w:jc w:val="center"/>
              <w:rPr>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9" w:hRule="atLeast"/>
        </w:trPr>
        <w:tc>
          <w:tcPr>
            <w:tcW w:w="1548" w:type="dxa"/>
            <w:tcBorders>
              <w:top w:val="single" w:color="auto" w:sz="4" w:space="0"/>
              <w:left w:val="single" w:color="auto" w:sz="4" w:space="0"/>
              <w:bottom w:val="single" w:color="auto" w:sz="4" w:space="0"/>
              <w:right w:val="single" w:color="auto" w:sz="4" w:space="0"/>
            </w:tcBorders>
            <w:vAlign w:val="center"/>
          </w:tcPr>
          <w:p>
            <w:pPr>
              <w:snapToGrid w:val="0"/>
              <w:jc w:val="center"/>
              <w:rPr>
                <w:color w:val="000000" w:themeColor="text1"/>
                <w:sz w:val="24"/>
                <w:szCs w:val="24"/>
              </w:rPr>
            </w:pPr>
            <w:r>
              <w:rPr>
                <w:color w:val="000000" w:themeColor="text1"/>
                <w:sz w:val="24"/>
                <w:szCs w:val="24"/>
              </w:rPr>
              <w:t>付款条件</w:t>
            </w:r>
          </w:p>
        </w:tc>
        <w:tc>
          <w:tcPr>
            <w:tcW w:w="2700" w:type="dxa"/>
            <w:tcBorders>
              <w:top w:val="single" w:color="auto" w:sz="4" w:space="0"/>
              <w:left w:val="nil"/>
              <w:bottom w:val="single" w:color="auto" w:sz="4" w:space="0"/>
              <w:right w:val="single" w:color="auto" w:sz="4" w:space="0"/>
            </w:tcBorders>
            <w:vAlign w:val="center"/>
          </w:tcPr>
          <w:p>
            <w:pPr>
              <w:snapToGrid w:val="0"/>
              <w:spacing w:before="156" w:beforeLines="50"/>
              <w:jc w:val="center"/>
              <w:rPr>
                <w:color w:val="000000" w:themeColor="text1"/>
                <w:sz w:val="24"/>
                <w:szCs w:val="24"/>
              </w:rPr>
            </w:pPr>
          </w:p>
        </w:tc>
        <w:tc>
          <w:tcPr>
            <w:tcW w:w="1260" w:type="dxa"/>
            <w:tcBorders>
              <w:top w:val="single" w:color="auto" w:sz="4" w:space="0"/>
              <w:left w:val="nil"/>
              <w:bottom w:val="single" w:color="auto" w:sz="4" w:space="0"/>
              <w:right w:val="single" w:color="auto" w:sz="4" w:space="0"/>
            </w:tcBorders>
            <w:vAlign w:val="center"/>
          </w:tcPr>
          <w:p>
            <w:pPr>
              <w:snapToGrid w:val="0"/>
              <w:spacing w:before="156" w:beforeLines="50"/>
              <w:jc w:val="center"/>
              <w:rPr>
                <w:color w:val="000000" w:themeColor="text1"/>
                <w:sz w:val="24"/>
                <w:szCs w:val="24"/>
              </w:rPr>
            </w:pPr>
          </w:p>
        </w:tc>
        <w:tc>
          <w:tcPr>
            <w:tcW w:w="3020" w:type="dxa"/>
            <w:tcBorders>
              <w:top w:val="single" w:color="auto" w:sz="4" w:space="0"/>
              <w:left w:val="nil"/>
              <w:bottom w:val="single" w:color="auto" w:sz="4" w:space="0"/>
              <w:right w:val="single" w:color="auto" w:sz="4" w:space="0"/>
            </w:tcBorders>
            <w:vAlign w:val="center"/>
          </w:tcPr>
          <w:p>
            <w:pPr>
              <w:snapToGrid w:val="0"/>
              <w:spacing w:before="156" w:beforeLines="50"/>
              <w:jc w:val="center"/>
              <w:rPr>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9" w:hRule="atLeast"/>
        </w:trPr>
        <w:tc>
          <w:tcPr>
            <w:tcW w:w="1548" w:type="dxa"/>
            <w:tcBorders>
              <w:top w:val="single" w:color="auto" w:sz="4" w:space="0"/>
              <w:left w:val="single" w:color="auto" w:sz="4" w:space="0"/>
              <w:bottom w:val="single" w:color="auto" w:sz="4" w:space="0"/>
              <w:right w:val="single" w:color="auto" w:sz="4" w:space="0"/>
            </w:tcBorders>
            <w:vAlign w:val="center"/>
          </w:tcPr>
          <w:p>
            <w:pPr>
              <w:snapToGrid w:val="0"/>
              <w:jc w:val="center"/>
              <w:rPr>
                <w:color w:val="000000" w:themeColor="text1"/>
                <w:sz w:val="24"/>
                <w:szCs w:val="24"/>
              </w:rPr>
            </w:pPr>
            <w:r>
              <w:rPr>
                <w:color w:val="000000" w:themeColor="text1"/>
                <w:sz w:val="24"/>
                <w:szCs w:val="24"/>
              </w:rPr>
              <w:t>备品备件及耗材等要求</w:t>
            </w:r>
          </w:p>
        </w:tc>
        <w:tc>
          <w:tcPr>
            <w:tcW w:w="2700" w:type="dxa"/>
            <w:tcBorders>
              <w:top w:val="single" w:color="auto" w:sz="4" w:space="0"/>
              <w:left w:val="nil"/>
              <w:bottom w:val="single" w:color="auto" w:sz="4" w:space="0"/>
              <w:right w:val="single" w:color="auto" w:sz="4" w:space="0"/>
            </w:tcBorders>
            <w:vAlign w:val="center"/>
          </w:tcPr>
          <w:p>
            <w:pPr>
              <w:snapToGrid w:val="0"/>
              <w:spacing w:before="156" w:beforeLines="50"/>
              <w:jc w:val="center"/>
              <w:rPr>
                <w:color w:val="000000" w:themeColor="text1"/>
                <w:sz w:val="24"/>
                <w:szCs w:val="24"/>
              </w:rPr>
            </w:pPr>
          </w:p>
        </w:tc>
        <w:tc>
          <w:tcPr>
            <w:tcW w:w="1260" w:type="dxa"/>
            <w:tcBorders>
              <w:top w:val="single" w:color="auto" w:sz="4" w:space="0"/>
              <w:left w:val="nil"/>
              <w:bottom w:val="single" w:color="auto" w:sz="4" w:space="0"/>
              <w:right w:val="single" w:color="auto" w:sz="4" w:space="0"/>
            </w:tcBorders>
            <w:vAlign w:val="center"/>
          </w:tcPr>
          <w:p>
            <w:pPr>
              <w:snapToGrid w:val="0"/>
              <w:spacing w:before="156" w:beforeLines="50"/>
              <w:jc w:val="center"/>
              <w:rPr>
                <w:color w:val="000000" w:themeColor="text1"/>
                <w:sz w:val="24"/>
                <w:szCs w:val="24"/>
              </w:rPr>
            </w:pPr>
          </w:p>
        </w:tc>
        <w:tc>
          <w:tcPr>
            <w:tcW w:w="3020" w:type="dxa"/>
            <w:tcBorders>
              <w:top w:val="single" w:color="auto" w:sz="4" w:space="0"/>
              <w:left w:val="nil"/>
              <w:bottom w:val="single" w:color="auto" w:sz="4" w:space="0"/>
              <w:right w:val="single" w:color="auto" w:sz="4" w:space="0"/>
            </w:tcBorders>
            <w:vAlign w:val="center"/>
          </w:tcPr>
          <w:p>
            <w:pPr>
              <w:snapToGrid w:val="0"/>
              <w:spacing w:before="156" w:beforeLines="50"/>
              <w:jc w:val="center"/>
              <w:rPr>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9" w:hRule="atLeast"/>
        </w:trPr>
        <w:tc>
          <w:tcPr>
            <w:tcW w:w="1548" w:type="dxa"/>
            <w:tcBorders>
              <w:top w:val="single" w:color="auto" w:sz="4" w:space="0"/>
              <w:left w:val="single" w:color="auto" w:sz="4" w:space="0"/>
              <w:bottom w:val="single" w:color="auto" w:sz="4" w:space="0"/>
              <w:right w:val="single" w:color="auto" w:sz="4" w:space="0"/>
            </w:tcBorders>
            <w:vAlign w:val="center"/>
          </w:tcPr>
          <w:p>
            <w:pPr>
              <w:snapToGrid w:val="0"/>
              <w:jc w:val="center"/>
              <w:rPr>
                <w:color w:val="000000" w:themeColor="text1"/>
                <w:sz w:val="24"/>
                <w:szCs w:val="24"/>
              </w:rPr>
            </w:pPr>
            <w:r>
              <w:rPr>
                <w:color w:val="000000" w:themeColor="text1"/>
                <w:sz w:val="24"/>
                <w:szCs w:val="24"/>
              </w:rPr>
              <w:t>其他</w:t>
            </w:r>
          </w:p>
        </w:tc>
        <w:tc>
          <w:tcPr>
            <w:tcW w:w="2700" w:type="dxa"/>
            <w:tcBorders>
              <w:top w:val="single" w:color="auto" w:sz="4" w:space="0"/>
              <w:left w:val="nil"/>
              <w:bottom w:val="single" w:color="auto" w:sz="4" w:space="0"/>
              <w:right w:val="single" w:color="auto" w:sz="4" w:space="0"/>
            </w:tcBorders>
            <w:vAlign w:val="center"/>
          </w:tcPr>
          <w:p>
            <w:pPr>
              <w:snapToGrid w:val="0"/>
              <w:spacing w:before="156" w:beforeLines="50"/>
              <w:jc w:val="center"/>
              <w:rPr>
                <w:color w:val="000000" w:themeColor="text1"/>
                <w:sz w:val="24"/>
                <w:szCs w:val="24"/>
              </w:rPr>
            </w:pPr>
          </w:p>
        </w:tc>
        <w:tc>
          <w:tcPr>
            <w:tcW w:w="1260" w:type="dxa"/>
            <w:tcBorders>
              <w:top w:val="single" w:color="auto" w:sz="4" w:space="0"/>
              <w:left w:val="nil"/>
              <w:bottom w:val="single" w:color="auto" w:sz="4" w:space="0"/>
              <w:right w:val="single" w:color="auto" w:sz="4" w:space="0"/>
            </w:tcBorders>
            <w:vAlign w:val="center"/>
          </w:tcPr>
          <w:p>
            <w:pPr>
              <w:snapToGrid w:val="0"/>
              <w:spacing w:before="156" w:beforeLines="50"/>
              <w:jc w:val="center"/>
              <w:rPr>
                <w:color w:val="000000" w:themeColor="text1"/>
                <w:sz w:val="24"/>
                <w:szCs w:val="24"/>
              </w:rPr>
            </w:pPr>
          </w:p>
        </w:tc>
        <w:tc>
          <w:tcPr>
            <w:tcW w:w="3020" w:type="dxa"/>
            <w:tcBorders>
              <w:top w:val="single" w:color="auto" w:sz="4" w:space="0"/>
              <w:left w:val="nil"/>
              <w:bottom w:val="single" w:color="auto" w:sz="4" w:space="0"/>
              <w:right w:val="single" w:color="auto" w:sz="4" w:space="0"/>
            </w:tcBorders>
            <w:vAlign w:val="center"/>
          </w:tcPr>
          <w:p>
            <w:pPr>
              <w:snapToGrid w:val="0"/>
              <w:spacing w:before="156" w:beforeLines="50"/>
              <w:jc w:val="center"/>
              <w:rPr>
                <w:color w:val="000000" w:themeColor="text1"/>
                <w:sz w:val="24"/>
                <w:szCs w:val="24"/>
              </w:rPr>
            </w:pPr>
          </w:p>
        </w:tc>
      </w:tr>
    </w:tbl>
    <w:p>
      <w:pPr>
        <w:spacing w:before="156" w:beforeLines="50"/>
        <w:rPr>
          <w:color w:val="000000" w:themeColor="text1"/>
          <w:sz w:val="24"/>
          <w:szCs w:val="24"/>
        </w:rPr>
      </w:pPr>
      <w:r>
        <w:rPr>
          <w:color w:val="000000" w:themeColor="text1"/>
          <w:sz w:val="24"/>
          <w:szCs w:val="24"/>
        </w:rPr>
        <w:t xml:space="preserve">法定代表人或授权代表签字： </w:t>
      </w:r>
    </w:p>
    <w:p>
      <w:pPr>
        <w:snapToGrid w:val="0"/>
        <w:spacing w:line="560" w:lineRule="exact"/>
        <w:jc w:val="center"/>
        <w:rPr>
          <w:color w:val="000000" w:themeColor="text1"/>
          <w:sz w:val="32"/>
          <w:szCs w:val="32"/>
        </w:rPr>
      </w:pPr>
      <w:r>
        <w:rPr>
          <w:color w:val="000000" w:themeColor="text1"/>
          <w:sz w:val="32"/>
          <w:szCs w:val="32"/>
        </w:rPr>
        <w:br w:type="page"/>
      </w:r>
    </w:p>
    <w:p>
      <w:pPr>
        <w:snapToGrid w:val="0"/>
        <w:spacing w:before="50" w:after="50"/>
        <w:jc w:val="center"/>
        <w:rPr>
          <w:rFonts w:eastAsia="黑体"/>
          <w:color w:val="000000" w:themeColor="text1"/>
          <w:sz w:val="32"/>
          <w:szCs w:val="32"/>
        </w:rPr>
      </w:pPr>
      <w:r>
        <w:rPr>
          <w:rFonts w:hint="eastAsia" w:eastAsia="黑体"/>
          <w:color w:val="000000" w:themeColor="text1"/>
          <w:sz w:val="32"/>
          <w:szCs w:val="32"/>
          <w:lang w:eastAsia="zh-CN"/>
        </w:rPr>
        <w:t>八</w:t>
      </w:r>
      <w:r>
        <w:rPr>
          <w:rFonts w:eastAsia="黑体"/>
          <w:color w:val="000000" w:themeColor="text1"/>
          <w:sz w:val="32"/>
          <w:szCs w:val="32"/>
        </w:rPr>
        <w:t>、盐城市政府采购事前信用承诺书</w:t>
      </w:r>
    </w:p>
    <w:p>
      <w:pPr>
        <w:spacing w:line="500" w:lineRule="exact"/>
        <w:ind w:firstLine="640" w:firstLineChars="200"/>
        <w:jc w:val="left"/>
        <w:rPr>
          <w:rFonts w:eastAsia="方正仿宋_GBK"/>
          <w:color w:val="000000" w:themeColor="text1"/>
          <w:kern w:val="0"/>
          <w:sz w:val="32"/>
          <w:szCs w:val="32"/>
        </w:rPr>
      </w:pPr>
    </w:p>
    <w:p>
      <w:pPr>
        <w:spacing w:line="440" w:lineRule="exact"/>
        <w:ind w:firstLine="480" w:firstLineChars="200"/>
        <w:rPr>
          <w:color w:val="000000" w:themeColor="text1"/>
          <w:sz w:val="24"/>
        </w:rPr>
      </w:pPr>
      <w:r>
        <w:rPr>
          <w:color w:val="000000" w:themeColor="text1"/>
          <w:sz w:val="24"/>
        </w:rPr>
        <w:t>为营造我市公开、公平、公正、诚实守信的政府采购交易环境，树立诚信守法的投标人形象，本人代表本单位作出以下承诺：</w:t>
      </w:r>
    </w:p>
    <w:p>
      <w:pPr>
        <w:spacing w:line="440" w:lineRule="exact"/>
        <w:ind w:firstLine="480" w:firstLineChars="200"/>
        <w:rPr>
          <w:color w:val="000000" w:themeColor="text1"/>
          <w:sz w:val="24"/>
        </w:rPr>
      </w:pPr>
      <w:r>
        <w:rPr>
          <w:color w:val="000000" w:themeColor="text1"/>
          <w:sz w:val="24"/>
        </w:rPr>
        <w:t>（一）本单位对所提交的企（事）业单位基本信息、企（事）业负责人、项目负责人、技术负责人、从业资质和资格、业绩、财务状况、信誉等所有资料，均合法、真实、准确、有效，无任何伪造、修改、虚假成份，并对所提供资料的真实性负责；</w:t>
      </w:r>
    </w:p>
    <w:p>
      <w:pPr>
        <w:spacing w:line="440" w:lineRule="exact"/>
        <w:ind w:firstLine="480" w:firstLineChars="200"/>
        <w:rPr>
          <w:color w:val="000000" w:themeColor="text1"/>
          <w:sz w:val="24"/>
        </w:rPr>
      </w:pPr>
      <w:r>
        <w:rPr>
          <w:color w:val="000000" w:themeColor="text1"/>
          <w:sz w:val="24"/>
        </w:rPr>
        <w:t>（二）本单位无涉及政府采购活动的违法、违规不良记录，我公司及相关负责人无因存在重大隐患整改不力、发生有重大社会影响生产安全事故或其他严重违法违规行为而被列入失信联合惩戒的不良记录；</w:t>
      </w:r>
    </w:p>
    <w:p>
      <w:pPr>
        <w:spacing w:line="440" w:lineRule="exact"/>
        <w:ind w:firstLine="480" w:firstLineChars="200"/>
        <w:rPr>
          <w:color w:val="000000" w:themeColor="text1"/>
          <w:sz w:val="24"/>
        </w:rPr>
      </w:pPr>
      <w:r>
        <w:rPr>
          <w:color w:val="000000" w:themeColor="text1"/>
          <w:sz w:val="24"/>
        </w:rPr>
        <w:t>（三）严格依照国家和省、市关于政府采购的法律、法规、规章、规范性文件，参加政府采购投标活动；积极履行社会责任，促进廉政建设；</w:t>
      </w:r>
    </w:p>
    <w:p>
      <w:pPr>
        <w:spacing w:line="440" w:lineRule="exact"/>
        <w:ind w:firstLine="480" w:firstLineChars="200"/>
        <w:rPr>
          <w:color w:val="000000" w:themeColor="text1"/>
          <w:sz w:val="24"/>
        </w:rPr>
      </w:pPr>
      <w:r>
        <w:rPr>
          <w:color w:val="000000" w:themeColor="text1"/>
          <w:sz w:val="24"/>
        </w:rPr>
        <w:t>（四）严格遵守即时信息公示规定，及时维护和更新维护和更新盐城市政府采购网中与本单位相关的信息；</w:t>
      </w:r>
    </w:p>
    <w:p>
      <w:pPr>
        <w:spacing w:line="440" w:lineRule="exact"/>
        <w:ind w:firstLine="480" w:firstLineChars="200"/>
        <w:rPr>
          <w:color w:val="000000" w:themeColor="text1"/>
          <w:sz w:val="24"/>
        </w:rPr>
      </w:pPr>
      <w:r>
        <w:rPr>
          <w:color w:val="000000" w:themeColor="text1"/>
          <w:sz w:val="24"/>
        </w:rPr>
        <w:t>（五）自我约束、自我管理，守合同、重信用，自觉维护政府采购交易的良好秩序，与参与本次政府采购活动的其他供应商不存在直接控股或管理关系，不参与围标串标、弄虚作假、骗取中标、干扰评标、违约毁约等行为；</w:t>
      </w:r>
    </w:p>
    <w:p>
      <w:pPr>
        <w:spacing w:line="440" w:lineRule="exact"/>
        <w:ind w:firstLine="480" w:firstLineChars="200"/>
        <w:rPr>
          <w:color w:val="000000" w:themeColor="text1"/>
          <w:sz w:val="24"/>
        </w:rPr>
      </w:pPr>
      <w:r>
        <w:rPr>
          <w:color w:val="000000" w:themeColor="text1"/>
          <w:sz w:val="24"/>
        </w:rPr>
        <w:t>（六）自觉接受政府、行业组织、社会公众、新闻舆论的监督；</w:t>
      </w:r>
    </w:p>
    <w:p>
      <w:pPr>
        <w:spacing w:line="440" w:lineRule="exact"/>
        <w:ind w:firstLine="480" w:firstLineChars="200"/>
        <w:rPr>
          <w:color w:val="000000" w:themeColor="text1"/>
          <w:sz w:val="24"/>
        </w:rPr>
      </w:pPr>
      <w:r>
        <w:rPr>
          <w:color w:val="000000" w:themeColor="text1"/>
          <w:sz w:val="24"/>
        </w:rPr>
        <w:t>（七）本单位自愿接受政府采购监督管理机构和有关行政监督部门的依法检查。如发生违法违规或不良失信行为，自愿接受政府采购监督管理机构和有关行政监督部门依法给予的行政处罚（处理），并依法承担相应责任；</w:t>
      </w:r>
    </w:p>
    <w:p>
      <w:pPr>
        <w:spacing w:line="440" w:lineRule="exact"/>
        <w:ind w:firstLine="480" w:firstLineChars="200"/>
        <w:rPr>
          <w:color w:val="000000" w:themeColor="text1"/>
          <w:sz w:val="24"/>
        </w:rPr>
      </w:pPr>
      <w:r>
        <w:rPr>
          <w:color w:val="000000" w:themeColor="text1"/>
          <w:sz w:val="24"/>
        </w:rPr>
        <w:t>（八）本人已认真阅读了上述承诺，并向本单位员工作了宣传教育。</w:t>
      </w:r>
    </w:p>
    <w:p>
      <w:pPr>
        <w:spacing w:line="500" w:lineRule="exact"/>
        <w:jc w:val="left"/>
        <w:rPr>
          <w:color w:val="000000" w:themeColor="text1"/>
          <w:sz w:val="24"/>
        </w:rPr>
      </w:pPr>
    </w:p>
    <w:p>
      <w:pPr>
        <w:pStyle w:val="25"/>
      </w:pPr>
    </w:p>
    <w:p>
      <w:pPr>
        <w:spacing w:line="500" w:lineRule="exact"/>
        <w:jc w:val="center"/>
        <w:rPr>
          <w:color w:val="000000" w:themeColor="text1"/>
          <w:sz w:val="24"/>
        </w:rPr>
      </w:pPr>
      <w:r>
        <w:rPr>
          <w:color w:val="000000" w:themeColor="text1"/>
          <w:sz w:val="24"/>
        </w:rPr>
        <w:t xml:space="preserve">                 法定代表人签名：</w:t>
      </w:r>
    </w:p>
    <w:p>
      <w:pPr>
        <w:spacing w:line="500" w:lineRule="exact"/>
        <w:jc w:val="center"/>
        <w:rPr>
          <w:color w:val="000000" w:themeColor="text1"/>
          <w:sz w:val="24"/>
        </w:rPr>
      </w:pPr>
      <w:r>
        <w:rPr>
          <w:color w:val="000000" w:themeColor="text1"/>
          <w:sz w:val="24"/>
        </w:rPr>
        <w:t xml:space="preserve">                   单位名称（盖章）：</w:t>
      </w:r>
    </w:p>
    <w:p>
      <w:pPr>
        <w:spacing w:line="500" w:lineRule="exact"/>
        <w:jc w:val="center"/>
        <w:rPr>
          <w:color w:val="000000" w:themeColor="text1"/>
          <w:sz w:val="24"/>
        </w:rPr>
      </w:pPr>
      <w:r>
        <w:rPr>
          <w:color w:val="000000" w:themeColor="text1"/>
          <w:sz w:val="24"/>
        </w:rPr>
        <w:t xml:space="preserve">                      年    月    日</w:t>
      </w:r>
    </w:p>
    <w:p>
      <w:pPr>
        <w:rPr>
          <w:color w:val="000000" w:themeColor="text1"/>
        </w:rPr>
      </w:pPr>
    </w:p>
    <w:p>
      <w:pPr>
        <w:pStyle w:val="25"/>
        <w:rPr>
          <w:color w:val="000000" w:themeColor="text1"/>
        </w:rPr>
      </w:pPr>
    </w:p>
    <w:p>
      <w:pPr>
        <w:pStyle w:val="25"/>
        <w:jc w:val="center"/>
        <w:rPr>
          <w:rFonts w:eastAsia="黑体"/>
          <w:color w:val="000000" w:themeColor="text1"/>
          <w:kern w:val="2"/>
          <w:sz w:val="32"/>
          <w:szCs w:val="32"/>
        </w:rPr>
      </w:pPr>
      <w:r>
        <w:rPr>
          <w:rFonts w:hint="eastAsia" w:eastAsia="黑体"/>
          <w:color w:val="000000" w:themeColor="text1"/>
          <w:kern w:val="2"/>
          <w:sz w:val="32"/>
          <w:szCs w:val="32"/>
        </w:rPr>
        <w:t xml:space="preserve"> </w:t>
      </w:r>
      <w:r>
        <w:rPr>
          <w:rFonts w:hint="eastAsia" w:eastAsia="黑体"/>
          <w:color w:val="000000" w:themeColor="text1"/>
          <w:kern w:val="2"/>
          <w:sz w:val="32"/>
          <w:szCs w:val="32"/>
          <w:lang w:eastAsia="zh-CN"/>
        </w:rPr>
        <w:t>九</w:t>
      </w:r>
      <w:r>
        <w:rPr>
          <w:rFonts w:hint="eastAsia" w:eastAsia="黑体"/>
          <w:color w:val="000000" w:themeColor="text1"/>
          <w:kern w:val="2"/>
          <w:sz w:val="32"/>
          <w:szCs w:val="32"/>
        </w:rPr>
        <w:t>、 承诺书</w:t>
      </w:r>
    </w:p>
    <w:p>
      <w:pPr>
        <w:pStyle w:val="25"/>
        <w:ind w:firstLine="720" w:firstLineChars="300"/>
        <w:rPr>
          <w:color w:val="000000" w:themeColor="text1"/>
        </w:rPr>
      </w:pPr>
      <w:r>
        <w:rPr>
          <w:rFonts w:hint="eastAsia"/>
          <w:color w:val="000000" w:themeColor="text1"/>
        </w:rPr>
        <w:t>格式自拟</w:t>
      </w:r>
    </w:p>
    <w:p>
      <w:pPr>
        <w:pStyle w:val="25"/>
        <w:rPr>
          <w:color w:val="000000" w:themeColor="text1"/>
        </w:rPr>
      </w:pPr>
    </w:p>
    <w:p>
      <w:pPr>
        <w:pStyle w:val="25"/>
        <w:rPr>
          <w:rFonts w:hint="eastAsia"/>
          <w:color w:val="C0504D" w:themeColor="accent2"/>
        </w:rPr>
      </w:pPr>
      <w:r>
        <w:rPr>
          <w:rFonts w:hint="eastAsia"/>
          <w:color w:val="C0504D" w:themeColor="accent2"/>
        </w:rPr>
        <w:t>投标人需提供</w:t>
      </w:r>
      <w:r>
        <w:rPr>
          <w:color w:val="C0504D" w:themeColor="accent2"/>
        </w:rPr>
        <w:t>图书供货率</w:t>
      </w:r>
      <w:r>
        <w:rPr>
          <w:rFonts w:hint="eastAsia"/>
          <w:color w:val="C0504D" w:themeColor="accent2"/>
        </w:rPr>
        <w:t>不</w:t>
      </w:r>
      <w:r>
        <w:rPr>
          <w:color w:val="C0504D" w:themeColor="accent2"/>
        </w:rPr>
        <w:t>低于9</w:t>
      </w:r>
      <w:r>
        <w:rPr>
          <w:rFonts w:hint="eastAsia"/>
          <w:color w:val="C0504D" w:themeColor="accent2"/>
          <w:lang w:val="en-US" w:eastAsia="zh-CN"/>
        </w:rPr>
        <w:t>5</w:t>
      </w:r>
      <w:r>
        <w:rPr>
          <w:color w:val="C0504D" w:themeColor="accent2"/>
        </w:rPr>
        <w:t>%</w:t>
      </w:r>
      <w:r>
        <w:rPr>
          <w:rFonts w:hint="eastAsia"/>
          <w:color w:val="C0504D" w:themeColor="accent2"/>
        </w:rPr>
        <w:t>的承诺，未提供或未承诺的按无效标书处理。</w:t>
      </w:r>
    </w:p>
    <w:p>
      <w:pPr>
        <w:pStyle w:val="25"/>
        <w:rPr>
          <w:rFonts w:hint="eastAsia"/>
          <w:color w:val="C0504D" w:themeColor="accent2"/>
        </w:rPr>
      </w:pPr>
    </w:p>
    <w:p>
      <w:pPr>
        <w:pStyle w:val="25"/>
        <w:rPr>
          <w:rFonts w:hint="eastAsia"/>
          <w:color w:val="C0504D" w:themeColor="accent2"/>
        </w:rPr>
      </w:pPr>
    </w:p>
    <w:p>
      <w:pPr>
        <w:pStyle w:val="25"/>
        <w:rPr>
          <w:rFonts w:hint="eastAsia"/>
          <w:color w:val="C0504D" w:themeColor="accent2"/>
        </w:rPr>
      </w:pPr>
    </w:p>
    <w:p>
      <w:pPr>
        <w:pStyle w:val="25"/>
        <w:rPr>
          <w:rFonts w:hint="eastAsia"/>
          <w:color w:val="C0504D" w:themeColor="accent2"/>
        </w:rPr>
      </w:pPr>
    </w:p>
    <w:p>
      <w:pPr>
        <w:pStyle w:val="25"/>
        <w:rPr>
          <w:rFonts w:hint="eastAsia"/>
          <w:color w:val="C0504D" w:themeColor="accent2"/>
        </w:rPr>
      </w:pPr>
    </w:p>
    <w:p>
      <w:pPr>
        <w:pStyle w:val="25"/>
        <w:rPr>
          <w:rFonts w:hint="eastAsia"/>
          <w:color w:val="C0504D" w:themeColor="accent2"/>
        </w:rPr>
      </w:pPr>
    </w:p>
    <w:p>
      <w:pPr>
        <w:pStyle w:val="25"/>
        <w:rPr>
          <w:rFonts w:hint="eastAsia"/>
          <w:color w:val="C0504D" w:themeColor="accent2"/>
        </w:rPr>
      </w:pPr>
    </w:p>
    <w:p>
      <w:pPr>
        <w:pStyle w:val="25"/>
        <w:rPr>
          <w:rFonts w:hint="eastAsia"/>
          <w:color w:val="C0504D" w:themeColor="accent2"/>
        </w:rPr>
      </w:pPr>
    </w:p>
    <w:p>
      <w:pPr>
        <w:pStyle w:val="25"/>
        <w:rPr>
          <w:rFonts w:hint="eastAsia"/>
          <w:color w:val="C0504D" w:themeColor="accent2"/>
        </w:rPr>
      </w:pPr>
    </w:p>
    <w:p>
      <w:pPr>
        <w:pStyle w:val="25"/>
        <w:rPr>
          <w:rFonts w:hint="eastAsia"/>
          <w:color w:val="C0504D" w:themeColor="accent2"/>
        </w:rPr>
      </w:pPr>
    </w:p>
    <w:p>
      <w:pPr>
        <w:pStyle w:val="25"/>
        <w:rPr>
          <w:rFonts w:hint="eastAsia"/>
          <w:color w:val="C0504D" w:themeColor="accent2"/>
        </w:rPr>
      </w:pPr>
    </w:p>
    <w:p>
      <w:pPr>
        <w:pStyle w:val="25"/>
        <w:rPr>
          <w:rFonts w:hint="eastAsia"/>
          <w:color w:val="C0504D" w:themeColor="accent2"/>
        </w:rPr>
      </w:pPr>
    </w:p>
    <w:p>
      <w:pPr>
        <w:pStyle w:val="25"/>
        <w:rPr>
          <w:rFonts w:hint="eastAsia"/>
          <w:color w:val="C0504D" w:themeColor="accent2"/>
        </w:rPr>
      </w:pPr>
    </w:p>
    <w:p>
      <w:pPr>
        <w:pStyle w:val="25"/>
        <w:rPr>
          <w:rFonts w:hint="eastAsia"/>
          <w:color w:val="C0504D" w:themeColor="accent2"/>
        </w:rPr>
      </w:pPr>
    </w:p>
    <w:p>
      <w:pPr>
        <w:pStyle w:val="25"/>
        <w:rPr>
          <w:rFonts w:hint="eastAsia"/>
          <w:color w:val="C0504D" w:themeColor="accent2"/>
        </w:rPr>
      </w:pPr>
    </w:p>
    <w:p>
      <w:pPr>
        <w:pStyle w:val="25"/>
        <w:rPr>
          <w:rFonts w:hint="eastAsia"/>
          <w:color w:val="C0504D" w:themeColor="accent2"/>
        </w:rPr>
      </w:pPr>
    </w:p>
    <w:p>
      <w:pPr>
        <w:pStyle w:val="25"/>
        <w:rPr>
          <w:rFonts w:hint="eastAsia"/>
          <w:color w:val="C0504D" w:themeColor="accent2"/>
        </w:rPr>
      </w:pPr>
    </w:p>
    <w:p>
      <w:pPr>
        <w:pStyle w:val="25"/>
        <w:rPr>
          <w:rFonts w:hint="eastAsia"/>
          <w:color w:val="C0504D" w:themeColor="accent2"/>
        </w:rPr>
      </w:pPr>
    </w:p>
    <w:p>
      <w:pPr>
        <w:pStyle w:val="25"/>
        <w:rPr>
          <w:rFonts w:hint="eastAsia"/>
          <w:color w:val="C0504D" w:themeColor="accent2"/>
        </w:rPr>
      </w:pPr>
    </w:p>
    <w:p>
      <w:pPr>
        <w:pStyle w:val="25"/>
        <w:rPr>
          <w:rFonts w:hint="eastAsia"/>
          <w:color w:val="C0504D" w:themeColor="accent2"/>
        </w:rPr>
      </w:pPr>
    </w:p>
    <w:p>
      <w:pPr>
        <w:pStyle w:val="25"/>
        <w:rPr>
          <w:rFonts w:hint="eastAsia"/>
          <w:color w:val="C0504D" w:themeColor="accent2"/>
        </w:rPr>
      </w:pPr>
    </w:p>
    <w:p>
      <w:pPr>
        <w:pStyle w:val="25"/>
        <w:rPr>
          <w:rFonts w:hint="eastAsia"/>
          <w:color w:val="C0504D" w:themeColor="accent2"/>
        </w:rPr>
      </w:pPr>
    </w:p>
    <w:p>
      <w:pPr>
        <w:pStyle w:val="25"/>
        <w:rPr>
          <w:rFonts w:hint="eastAsia"/>
          <w:color w:val="C0504D" w:themeColor="accent2"/>
        </w:rPr>
      </w:pPr>
    </w:p>
    <w:p>
      <w:pPr>
        <w:pStyle w:val="25"/>
        <w:rPr>
          <w:rFonts w:hint="eastAsia"/>
          <w:color w:val="C0504D" w:themeColor="accent2"/>
        </w:rPr>
      </w:pPr>
    </w:p>
    <w:p>
      <w:pPr>
        <w:pStyle w:val="25"/>
        <w:rPr>
          <w:rFonts w:hint="eastAsia"/>
          <w:color w:val="C0504D" w:themeColor="accent2"/>
        </w:rPr>
      </w:pPr>
    </w:p>
    <w:p>
      <w:pPr>
        <w:pStyle w:val="25"/>
        <w:rPr>
          <w:rFonts w:hint="eastAsia"/>
          <w:color w:val="C0504D" w:themeColor="accent2"/>
        </w:rPr>
      </w:pPr>
    </w:p>
    <w:p>
      <w:pPr>
        <w:pStyle w:val="25"/>
        <w:rPr>
          <w:rFonts w:hint="eastAsia"/>
          <w:color w:val="C0504D" w:themeColor="accent2"/>
        </w:rPr>
      </w:pPr>
    </w:p>
    <w:p>
      <w:pPr>
        <w:pStyle w:val="25"/>
        <w:rPr>
          <w:rFonts w:hint="eastAsia"/>
          <w:color w:val="C0504D" w:themeColor="accent2"/>
        </w:rPr>
      </w:pPr>
    </w:p>
    <w:p>
      <w:pPr>
        <w:pStyle w:val="25"/>
        <w:rPr>
          <w:rFonts w:hint="eastAsia"/>
          <w:color w:val="C0504D" w:themeColor="accent2"/>
        </w:rPr>
      </w:pPr>
    </w:p>
    <w:p>
      <w:pPr>
        <w:pStyle w:val="25"/>
        <w:rPr>
          <w:rFonts w:hint="eastAsia"/>
          <w:color w:val="C0504D" w:themeColor="accent2"/>
        </w:rPr>
      </w:pPr>
    </w:p>
    <w:p>
      <w:pPr>
        <w:pStyle w:val="25"/>
        <w:rPr>
          <w:rFonts w:hint="eastAsia"/>
          <w:color w:val="C0504D" w:themeColor="accent2"/>
        </w:rPr>
      </w:pPr>
    </w:p>
    <w:p>
      <w:pPr>
        <w:pStyle w:val="25"/>
        <w:rPr>
          <w:rFonts w:hint="eastAsia"/>
          <w:color w:val="C0504D" w:themeColor="accent2"/>
        </w:rPr>
      </w:pPr>
    </w:p>
    <w:p>
      <w:pPr>
        <w:pStyle w:val="25"/>
        <w:rPr>
          <w:rFonts w:hint="eastAsia"/>
          <w:color w:val="C0504D" w:themeColor="accent2"/>
        </w:rPr>
      </w:pPr>
    </w:p>
    <w:p>
      <w:pPr>
        <w:pStyle w:val="25"/>
        <w:rPr>
          <w:rFonts w:hint="eastAsia"/>
          <w:color w:val="C0504D" w:themeColor="accent2"/>
        </w:rPr>
      </w:pPr>
    </w:p>
    <w:p>
      <w:pPr>
        <w:pStyle w:val="25"/>
        <w:rPr>
          <w:rFonts w:hint="eastAsia"/>
          <w:color w:val="C0504D" w:themeColor="accent2"/>
        </w:rPr>
      </w:pPr>
    </w:p>
    <w:p>
      <w:pPr>
        <w:pStyle w:val="25"/>
        <w:rPr>
          <w:rFonts w:hint="eastAsia"/>
          <w:color w:val="C0504D" w:themeColor="accent2"/>
        </w:rPr>
      </w:pPr>
    </w:p>
    <w:p>
      <w:pPr>
        <w:pStyle w:val="25"/>
        <w:rPr>
          <w:rFonts w:hint="eastAsia"/>
          <w:color w:val="C0504D" w:themeColor="accent2"/>
        </w:rPr>
      </w:pPr>
    </w:p>
    <w:p>
      <w:pPr>
        <w:snapToGrid w:val="0"/>
        <w:spacing w:line="560" w:lineRule="exact"/>
        <w:jc w:val="center"/>
        <w:rPr>
          <w:rFonts w:eastAsia="黑体"/>
          <w:color w:val="000000" w:themeColor="text1"/>
          <w:sz w:val="32"/>
          <w:szCs w:val="32"/>
        </w:rPr>
      </w:pPr>
      <w:r>
        <w:rPr>
          <w:rFonts w:hint="eastAsia" w:eastAsia="黑体"/>
          <w:color w:val="000000" w:themeColor="text1"/>
          <w:sz w:val="32"/>
          <w:szCs w:val="32"/>
          <w:lang w:eastAsia="zh-CN"/>
        </w:rPr>
        <w:t>十</w:t>
      </w:r>
      <w:r>
        <w:rPr>
          <w:rFonts w:eastAsia="黑体"/>
          <w:color w:val="000000" w:themeColor="text1"/>
          <w:sz w:val="32"/>
          <w:szCs w:val="32"/>
        </w:rPr>
        <w:t>、</w:t>
      </w:r>
      <w:r>
        <w:rPr>
          <w:rFonts w:hint="eastAsia" w:eastAsia="黑体"/>
          <w:color w:val="000000" w:themeColor="text1"/>
          <w:sz w:val="32"/>
          <w:szCs w:val="32"/>
        </w:rPr>
        <w:t>招</w:t>
      </w:r>
      <w:r>
        <w:rPr>
          <w:rFonts w:eastAsia="黑体"/>
          <w:color w:val="000000" w:themeColor="text1"/>
          <w:sz w:val="32"/>
          <w:szCs w:val="32"/>
        </w:rPr>
        <w:t>标文件中规定要求提供的材料或投标供应商认为需要提供的其他材料</w:t>
      </w:r>
    </w:p>
    <w:p>
      <w:pPr>
        <w:snapToGrid w:val="0"/>
        <w:spacing w:before="50" w:after="50"/>
        <w:jc w:val="center"/>
        <w:rPr>
          <w:color w:val="000000" w:themeColor="text1"/>
          <w:sz w:val="32"/>
          <w:szCs w:val="32"/>
        </w:rPr>
      </w:pPr>
    </w:p>
    <w:p>
      <w:pPr>
        <w:pStyle w:val="25"/>
        <w:rPr>
          <w:rFonts w:hint="eastAsia"/>
          <w:color w:val="C0504D" w:themeColor="accent2"/>
        </w:rPr>
      </w:pPr>
    </w:p>
    <w:sectPr>
      <w:footerReference r:id="rId5" w:type="first"/>
      <w:headerReference r:id="rId3" w:type="default"/>
      <w:footerReference r:id="rId4" w:type="default"/>
      <w:pgSz w:w="11906" w:h="16838"/>
      <w:pgMar w:top="1985" w:right="1588" w:bottom="1701" w:left="1588" w:header="1134" w:footer="1304"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幼圆">
    <w:panose1 w:val="02010509060101010101"/>
    <w:charset w:val="86"/>
    <w:family w:val="modern"/>
    <w:pitch w:val="default"/>
    <w:sig w:usb0="00000001" w:usb1="080E0000" w:usb2="00000000" w:usb3="00000000" w:csb0="00040000" w:csb1="00000000"/>
  </w:font>
  <w:font w:name="Garamond">
    <w:panose1 w:val="02020404030301010803"/>
    <w:charset w:val="00"/>
    <w:family w:val="roman"/>
    <w:pitch w:val="default"/>
    <w:sig w:usb0="00000287" w:usb1="00000000" w:usb2="00000000" w:usb3="00000000" w:csb0="0000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仿宋_GBK">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29594094"/>
    </w:sdtPr>
    <w:sdtContent>
      <w:p>
        <w:pPr>
          <w:pStyle w:val="15"/>
          <w:jc w:val="center"/>
        </w:pPr>
        <w:r>
          <w:fldChar w:fldCharType="begin"/>
        </w:r>
        <w:r>
          <w:instrText xml:space="preserve"> PAGE   \* MERGEFORMAT </w:instrText>
        </w:r>
        <w:r>
          <w:fldChar w:fldCharType="separate"/>
        </w:r>
        <w:r>
          <w:rPr>
            <w:lang w:val="zh-CN"/>
          </w:rPr>
          <w:t>32</w:t>
        </w:r>
        <w:r>
          <w:rPr>
            <w:lang w:val="zh-CN"/>
          </w:rPr>
          <w:fldChar w:fldCharType="end"/>
        </w:r>
      </w:p>
    </w:sdtContent>
  </w:sdt>
  <w:p>
    <w:pPr>
      <w:pStyle w:val="1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pPr>
    <w:r>
      <w:fldChar w:fldCharType="begin"/>
    </w:r>
    <w:r>
      <w:instrText xml:space="preserve">PAGE   \* MERGEFORMAT</w:instrText>
    </w:r>
    <w:r>
      <w:fldChar w:fldCharType="separate"/>
    </w:r>
    <w:r>
      <w:rPr>
        <w:lang w:val="zh-CN"/>
      </w:rPr>
      <w:t>1</w:t>
    </w:r>
    <w:r>
      <w:rPr>
        <w:lang w:val="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000000" w:sz="6" w:space="0"/>
      </w:pBdr>
      <w:snapToGrid w:val="0"/>
      <w:jc w:val="center"/>
      <w:rPr>
        <w:rFonts w:ascii="宋体" w:hAnsi="宋体"/>
        <w:sz w:val="18"/>
        <w:szCs w:val="18"/>
      </w:rPr>
    </w:pPr>
    <w:r>
      <w:rPr>
        <w:rFonts w:hint="eastAsia" w:ascii="宋体" w:hAnsi="宋体" w:cs="宋体"/>
        <w:color w:val="000000"/>
        <w:spacing w:val="40"/>
      </w:rPr>
      <w:t>盐城幼儿师范高等专科学校招标</w:t>
    </w:r>
    <w:r>
      <w:rPr>
        <w:rFonts w:hint="eastAsia" w:ascii="宋体" w:hAnsi="宋体" w:cs="宋体"/>
        <w:spacing w:val="40"/>
      </w:rPr>
      <w:t>文件</w:t>
    </w:r>
    <w:r>
      <w:rPr>
        <w:rFonts w:hint="eastAsia" w:ascii="宋体" w:hAnsi="宋体" w:cs="宋体"/>
        <w:color w:val="000000"/>
        <w:spacing w:val="40"/>
      </w:rPr>
      <w:t xml:space="preserve">ycyz2022hw001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2B9532"/>
    <w:multiLevelType w:val="singleLevel"/>
    <w:tmpl w:val="5A2B9532"/>
    <w:lvl w:ilvl="0" w:tentative="0">
      <w:start w:val="2"/>
      <w:numFmt w:val="decimal"/>
      <w:suff w:val="space"/>
      <w:lvlText w:val="%1."/>
      <w:lvlJc w:val="left"/>
      <w:pPr>
        <w:ind w:left="0" w:firstLine="0"/>
      </w:pPr>
    </w:lvl>
  </w:abstractNum>
  <w:num w:numId="1">
    <w:abstractNumId w:val="0"/>
    <w:lvlOverride w:ilvl="0">
      <w:startOverride w:val="2"/>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Dg0OTZhOWFhZmU0MjAyMTk2YzE4M2RhNWVlZjBmMzQifQ=="/>
  </w:docVars>
  <w:rsids>
    <w:rsidRoot w:val="00826A0F"/>
    <w:rsid w:val="00013403"/>
    <w:rsid w:val="0001548F"/>
    <w:rsid w:val="00023FFB"/>
    <w:rsid w:val="000420C1"/>
    <w:rsid w:val="00052268"/>
    <w:rsid w:val="00056C0F"/>
    <w:rsid w:val="00061E7F"/>
    <w:rsid w:val="00083525"/>
    <w:rsid w:val="0008634F"/>
    <w:rsid w:val="00090165"/>
    <w:rsid w:val="00094623"/>
    <w:rsid w:val="000A23CC"/>
    <w:rsid w:val="000A5F28"/>
    <w:rsid w:val="000B0CD0"/>
    <w:rsid w:val="000C1189"/>
    <w:rsid w:val="000F613C"/>
    <w:rsid w:val="001600BE"/>
    <w:rsid w:val="0017207F"/>
    <w:rsid w:val="001865FC"/>
    <w:rsid w:val="00196CBC"/>
    <w:rsid w:val="001A48CF"/>
    <w:rsid w:val="001B3AA3"/>
    <w:rsid w:val="001D6EAD"/>
    <w:rsid w:val="001E23BE"/>
    <w:rsid w:val="00202345"/>
    <w:rsid w:val="0020468B"/>
    <w:rsid w:val="00230354"/>
    <w:rsid w:val="00236E8E"/>
    <w:rsid w:val="00253674"/>
    <w:rsid w:val="002A36E8"/>
    <w:rsid w:val="002A51B9"/>
    <w:rsid w:val="002B1AEC"/>
    <w:rsid w:val="002C0BF9"/>
    <w:rsid w:val="002D2713"/>
    <w:rsid w:val="002E4583"/>
    <w:rsid w:val="002F075B"/>
    <w:rsid w:val="003177D9"/>
    <w:rsid w:val="003266C7"/>
    <w:rsid w:val="00332DF5"/>
    <w:rsid w:val="003346B5"/>
    <w:rsid w:val="003349E6"/>
    <w:rsid w:val="00346BF0"/>
    <w:rsid w:val="003560A3"/>
    <w:rsid w:val="003932AA"/>
    <w:rsid w:val="003A7778"/>
    <w:rsid w:val="003C1D02"/>
    <w:rsid w:val="003C538F"/>
    <w:rsid w:val="003D4915"/>
    <w:rsid w:val="003D6622"/>
    <w:rsid w:val="003E72A0"/>
    <w:rsid w:val="00405801"/>
    <w:rsid w:val="00407A63"/>
    <w:rsid w:val="00411BE1"/>
    <w:rsid w:val="00422E24"/>
    <w:rsid w:val="00454A6D"/>
    <w:rsid w:val="00471736"/>
    <w:rsid w:val="00482F33"/>
    <w:rsid w:val="004A11F1"/>
    <w:rsid w:val="004C3598"/>
    <w:rsid w:val="004C4678"/>
    <w:rsid w:val="004D4131"/>
    <w:rsid w:val="0052606B"/>
    <w:rsid w:val="00530FD2"/>
    <w:rsid w:val="005539E3"/>
    <w:rsid w:val="00566D40"/>
    <w:rsid w:val="005C790E"/>
    <w:rsid w:val="005D7154"/>
    <w:rsid w:val="005D7C85"/>
    <w:rsid w:val="00625B2F"/>
    <w:rsid w:val="00632559"/>
    <w:rsid w:val="00665091"/>
    <w:rsid w:val="00670C31"/>
    <w:rsid w:val="00681F12"/>
    <w:rsid w:val="006B1528"/>
    <w:rsid w:val="006E3BF2"/>
    <w:rsid w:val="006E496F"/>
    <w:rsid w:val="00703839"/>
    <w:rsid w:val="007240A4"/>
    <w:rsid w:val="007456C0"/>
    <w:rsid w:val="00761839"/>
    <w:rsid w:val="00767EEA"/>
    <w:rsid w:val="007830EC"/>
    <w:rsid w:val="007B23A4"/>
    <w:rsid w:val="007D2284"/>
    <w:rsid w:val="007D4A72"/>
    <w:rsid w:val="007F757F"/>
    <w:rsid w:val="0080525E"/>
    <w:rsid w:val="00806DCC"/>
    <w:rsid w:val="00826A0F"/>
    <w:rsid w:val="008371BC"/>
    <w:rsid w:val="00837BE1"/>
    <w:rsid w:val="00871B48"/>
    <w:rsid w:val="0088280A"/>
    <w:rsid w:val="00886939"/>
    <w:rsid w:val="00894A63"/>
    <w:rsid w:val="008B7650"/>
    <w:rsid w:val="008D02E5"/>
    <w:rsid w:val="008D6F6B"/>
    <w:rsid w:val="008F64C6"/>
    <w:rsid w:val="009069CC"/>
    <w:rsid w:val="0093487D"/>
    <w:rsid w:val="0094474E"/>
    <w:rsid w:val="00945410"/>
    <w:rsid w:val="00953259"/>
    <w:rsid w:val="00967E76"/>
    <w:rsid w:val="00973940"/>
    <w:rsid w:val="00976ACA"/>
    <w:rsid w:val="0098279C"/>
    <w:rsid w:val="009838B4"/>
    <w:rsid w:val="009944DC"/>
    <w:rsid w:val="009A2447"/>
    <w:rsid w:val="009A3EBD"/>
    <w:rsid w:val="009D1A06"/>
    <w:rsid w:val="009E28EB"/>
    <w:rsid w:val="00A14AAA"/>
    <w:rsid w:val="00A210AC"/>
    <w:rsid w:val="00A2314D"/>
    <w:rsid w:val="00A473B8"/>
    <w:rsid w:val="00A648BF"/>
    <w:rsid w:val="00A66C82"/>
    <w:rsid w:val="00A70531"/>
    <w:rsid w:val="00AB1B8C"/>
    <w:rsid w:val="00AB7124"/>
    <w:rsid w:val="00AC3DE0"/>
    <w:rsid w:val="00AD3AA7"/>
    <w:rsid w:val="00AE520E"/>
    <w:rsid w:val="00B35E38"/>
    <w:rsid w:val="00B658FD"/>
    <w:rsid w:val="00B76E71"/>
    <w:rsid w:val="00B939A1"/>
    <w:rsid w:val="00B952B4"/>
    <w:rsid w:val="00BA7049"/>
    <w:rsid w:val="00BB049F"/>
    <w:rsid w:val="00BB788F"/>
    <w:rsid w:val="00BF4EC1"/>
    <w:rsid w:val="00C0061C"/>
    <w:rsid w:val="00C008BC"/>
    <w:rsid w:val="00C11195"/>
    <w:rsid w:val="00C21E80"/>
    <w:rsid w:val="00C34362"/>
    <w:rsid w:val="00C503CC"/>
    <w:rsid w:val="00C5617D"/>
    <w:rsid w:val="00C95ED4"/>
    <w:rsid w:val="00C97547"/>
    <w:rsid w:val="00CA3CFF"/>
    <w:rsid w:val="00CB14D4"/>
    <w:rsid w:val="00CB3E26"/>
    <w:rsid w:val="00CC2A33"/>
    <w:rsid w:val="00CC55DF"/>
    <w:rsid w:val="00D716E5"/>
    <w:rsid w:val="00D90DAE"/>
    <w:rsid w:val="00D911A3"/>
    <w:rsid w:val="00D940BB"/>
    <w:rsid w:val="00D96CF3"/>
    <w:rsid w:val="00DC161A"/>
    <w:rsid w:val="00DF7FE6"/>
    <w:rsid w:val="00E24136"/>
    <w:rsid w:val="00E248AE"/>
    <w:rsid w:val="00E429C3"/>
    <w:rsid w:val="00E51AAB"/>
    <w:rsid w:val="00E903BD"/>
    <w:rsid w:val="00E90DDA"/>
    <w:rsid w:val="00E9692F"/>
    <w:rsid w:val="00EC4AF5"/>
    <w:rsid w:val="00EE1BA9"/>
    <w:rsid w:val="00EE26B2"/>
    <w:rsid w:val="00EF00B5"/>
    <w:rsid w:val="00EF1C39"/>
    <w:rsid w:val="00F10987"/>
    <w:rsid w:val="00F22B45"/>
    <w:rsid w:val="00F24020"/>
    <w:rsid w:val="00F905B3"/>
    <w:rsid w:val="00F92AEC"/>
    <w:rsid w:val="00FD4F19"/>
    <w:rsid w:val="05BE2706"/>
    <w:rsid w:val="06A030C2"/>
    <w:rsid w:val="07862691"/>
    <w:rsid w:val="08312BA3"/>
    <w:rsid w:val="08684CE0"/>
    <w:rsid w:val="096B7D90"/>
    <w:rsid w:val="098175B4"/>
    <w:rsid w:val="0C7B653C"/>
    <w:rsid w:val="106672C9"/>
    <w:rsid w:val="12BF57F1"/>
    <w:rsid w:val="13F57F2B"/>
    <w:rsid w:val="16CE01F2"/>
    <w:rsid w:val="177922F0"/>
    <w:rsid w:val="17E95B0E"/>
    <w:rsid w:val="1A057D8D"/>
    <w:rsid w:val="1AF13CB5"/>
    <w:rsid w:val="1D7A76D0"/>
    <w:rsid w:val="1DFF5CE1"/>
    <w:rsid w:val="1F250958"/>
    <w:rsid w:val="1FF02946"/>
    <w:rsid w:val="23C640E9"/>
    <w:rsid w:val="23EA427B"/>
    <w:rsid w:val="2446522A"/>
    <w:rsid w:val="2624038B"/>
    <w:rsid w:val="27214E72"/>
    <w:rsid w:val="280671AA"/>
    <w:rsid w:val="2D7A4AA5"/>
    <w:rsid w:val="318A2BFA"/>
    <w:rsid w:val="31C418C9"/>
    <w:rsid w:val="32C739DA"/>
    <w:rsid w:val="33071282"/>
    <w:rsid w:val="33D4357B"/>
    <w:rsid w:val="34BB6BEB"/>
    <w:rsid w:val="387B504A"/>
    <w:rsid w:val="39620EA9"/>
    <w:rsid w:val="39E80D0A"/>
    <w:rsid w:val="3A093679"/>
    <w:rsid w:val="3AC3441A"/>
    <w:rsid w:val="3B685CB1"/>
    <w:rsid w:val="3C522917"/>
    <w:rsid w:val="3D976A30"/>
    <w:rsid w:val="3F133019"/>
    <w:rsid w:val="40C53DFF"/>
    <w:rsid w:val="41002C1C"/>
    <w:rsid w:val="45F6521E"/>
    <w:rsid w:val="4663083F"/>
    <w:rsid w:val="46E3784F"/>
    <w:rsid w:val="46EE37D3"/>
    <w:rsid w:val="488F68F0"/>
    <w:rsid w:val="48E07049"/>
    <w:rsid w:val="4A9B77CE"/>
    <w:rsid w:val="4B913C9C"/>
    <w:rsid w:val="4C6D35CE"/>
    <w:rsid w:val="4E4E5ADE"/>
    <w:rsid w:val="4EC30CA9"/>
    <w:rsid w:val="51085492"/>
    <w:rsid w:val="523A10F8"/>
    <w:rsid w:val="554F3053"/>
    <w:rsid w:val="55577837"/>
    <w:rsid w:val="55AD239B"/>
    <w:rsid w:val="5DA20BF8"/>
    <w:rsid w:val="5F913938"/>
    <w:rsid w:val="60007659"/>
    <w:rsid w:val="610D0E7E"/>
    <w:rsid w:val="611A0FF5"/>
    <w:rsid w:val="63907F40"/>
    <w:rsid w:val="665705F5"/>
    <w:rsid w:val="67ED04A1"/>
    <w:rsid w:val="6A3E260C"/>
    <w:rsid w:val="6C9873B6"/>
    <w:rsid w:val="6D42279F"/>
    <w:rsid w:val="6E1E5287"/>
    <w:rsid w:val="6F14385A"/>
    <w:rsid w:val="70512160"/>
    <w:rsid w:val="715D700F"/>
    <w:rsid w:val="726E1536"/>
    <w:rsid w:val="73441562"/>
    <w:rsid w:val="75D927B7"/>
    <w:rsid w:val="769D255B"/>
    <w:rsid w:val="76BD6E08"/>
    <w:rsid w:val="7B683332"/>
    <w:rsid w:val="7B8B3249"/>
    <w:rsid w:val="7CB61568"/>
    <w:rsid w:val="7D066E76"/>
    <w:rsid w:val="7E0B4749"/>
    <w:rsid w:val="7F0E0C8D"/>
    <w:rsid w:val="7F8D01A2"/>
    <w:rsid w:val="7F92451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D0F20E-B8A8-4FA1-BFF4-466D2AF29120}">
  <ds:schemaRefs/>
</ds:datastoreItem>
</file>